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7CAFF" w14:textId="19721640" w:rsidR="00014EBB" w:rsidRPr="001B041D" w:rsidRDefault="00330C91">
      <w:pPr>
        <w:spacing w:after="100" w:line="300" w:lineRule="auto"/>
        <w:jc w:val="center"/>
      </w:pPr>
      <w:r>
        <w:rPr>
          <w:b/>
          <w:bCs/>
        </w:rPr>
        <w:t xml:space="preserve">ECC.MO </w:t>
      </w:r>
      <w:r w:rsidR="00000000">
        <w:rPr>
          <w:b/>
          <w:bCs/>
        </w:rPr>
        <w:t>TRIBUNALE ORDINARIO DI SALERNO</w:t>
      </w:r>
    </w:p>
    <w:p w14:paraId="71BF79A3" w14:textId="77777777" w:rsidR="00014EBB" w:rsidRPr="001B041D" w:rsidRDefault="00000000">
      <w:pPr>
        <w:spacing w:after="100" w:line="300" w:lineRule="auto"/>
        <w:jc w:val="center"/>
      </w:pPr>
      <w:r>
        <w:rPr>
          <w:b/>
          <w:bCs/>
        </w:rPr>
        <w:t>RICORSO</w:t>
      </w:r>
    </w:p>
    <w:p w14:paraId="59AA59A6" w14:textId="77777777" w:rsidR="00014EBB" w:rsidRPr="009A71CB" w:rsidRDefault="00000000">
      <w:pPr>
        <w:spacing w:after="100" w:line="300" w:lineRule="auto"/>
        <w:jc w:val="center"/>
        <w:rPr>
          <w:lang w:val="en-GB"/>
        </w:rPr>
      </w:pPr>
      <w:r>
        <w:rPr>
          <w:b/>
          <w:bCs/>
        </w:rPr>
        <w:t xml:space="preserve">ex artt. </w:t>
      </w:r>
      <w:r w:rsidRPr="009A71CB">
        <w:rPr>
          <w:b/>
          <w:bCs/>
          <w:lang w:val="en-GB"/>
        </w:rPr>
        <w:t>281-decies e 281-undecies c.p.c.</w:t>
      </w:r>
    </w:p>
    <w:p w14:paraId="773E23D2" w14:textId="77777777" w:rsidR="00014EBB" w:rsidRPr="00080205" w:rsidRDefault="00000000" w:rsidP="00080205">
      <w:pPr>
        <w:spacing w:after="100" w:line="300" w:lineRule="auto"/>
        <w:jc w:val="both"/>
        <w:rPr>
          <w:i/>
          <w:iCs/>
        </w:rPr>
      </w:pPr>
      <w:r>
        <w:rPr>
          <w:i/>
          <w:iCs/>
        </w:rPr>
        <w:t>per l'accertamento del diritto di elettorato attivo del ricorrente con i caratteri di libertà, eguaglianza, personalità e immediatezza garantiti dagli artt. 1, 3, 48, 56 e 58 della Costituzione</w:t>
      </w:r>
    </w:p>
    <w:p w14:paraId="13DF11A9" w14:textId="77777777" w:rsidR="00080205" w:rsidRDefault="00080205" w:rsidP="00080205">
      <w:pPr>
        <w:jc w:val="both"/>
      </w:pPr>
    </w:p>
    <w:p w14:paraId="30761EE0" w14:textId="6F0A5736" w:rsidR="00080205" w:rsidRDefault="00080205" w:rsidP="009C6B57">
      <w:pPr>
        <w:spacing w:line="360" w:lineRule="auto"/>
        <w:jc w:val="both"/>
      </w:pPr>
      <w:r>
        <w:rPr>
          <w:b/>
          <w:bCs/>
        </w:rPr>
        <w:t>PER</w:t>
      </w:r>
      <w:r>
        <w:t>: Avv. Guglielmo Scarlato (C.F. SCRGLL55R28F839I, pec per comunicazioni e notificazioni: scarlato.guglielmo@tolinkpec.it), residente in Salerno al Viale del Bosco n.28, difensore di sé stesso ex art. 86 c.p.c., nonché rappresentato e difeso, congiuntamente e disgiuntamente</w:t>
      </w:r>
      <w:r w:rsidR="005A12D3">
        <w:t xml:space="preserve"> giusta procura in calce al presente atto,</w:t>
      </w:r>
      <w:r>
        <w:t xml:space="preserve"> dall’Avv. Prof. Sergio Perongini (C.F. PRNSRG55C22G226A, pec per comunicazioni e notificazioni: </w:t>
      </w:r>
      <w:r w:rsidRPr="009A71CB">
        <w:t>studioperongini@pec.giuffre.it</w:t>
      </w:r>
      <w:r>
        <w:t>)</w:t>
      </w:r>
      <w:r w:rsidR="009A71CB">
        <w:t xml:space="preserve">, dall’Avv. Prof. Armando Lamberti (C.F. </w:t>
      </w:r>
      <w:r w:rsidR="009A71CB" w:rsidRPr="009A71CB">
        <w:t>LMBRND55R03C361A</w:t>
      </w:r>
      <w:r w:rsidR="009A71CB">
        <w:t xml:space="preserve"> pec per comunicazioni e notificazioni: </w:t>
      </w:r>
      <w:r w:rsidR="009A71CB" w:rsidRPr="009A71CB">
        <w:t>avvarmandolamberti@pec.ordineforense.salerno.it</w:t>
      </w:r>
      <w:r w:rsidR="009A71CB">
        <w:t>)</w:t>
      </w:r>
      <w:r>
        <w:t xml:space="preserve"> e dall’avv. Marco De Caro (C.F. </w:t>
      </w:r>
      <w:r w:rsidR="009C6B57"/>
      <w:r>
        <w:t>DCRMRC89H09G813I</w:t>
      </w:r>
      <w:r w:rsidR="009C6B57">
        <w:t xml:space="preserve">, </w:t>
      </w:r>
      <w:r>
        <w:t xml:space="preserve">pec per comunicazioni e notificazioni: </w:t>
      </w:r>
      <w:r w:rsidRPr="009A71CB">
        <w:t>studiolegalemdc@legalmail.it</w:t>
      </w:r>
      <w:r>
        <w:t>)</w:t>
      </w:r>
      <w:r w:rsidR="005A12D3">
        <w:t>.</w:t>
      </w:r>
      <w:r w:rsidR="009C6B57">
        <w:t xml:space="preserve"> L’Avv. Guglielmo Scarlato</w:t>
      </w:r>
      <w:r>
        <w:t xml:space="preserve"> elegge domicilio presso il suo studio in Salerno al Corso Vittori</w:t>
      </w:r>
      <w:r w:rsidR="00867033">
        <w:t>o</w:t>
      </w:r>
      <w:r>
        <w:t xml:space="preserve"> Emanuele n.140</w:t>
      </w:r>
      <w:r w:rsidR="009A71CB">
        <w:t>.</w:t>
      </w:r>
    </w:p>
    <w:p w14:paraId="028C3316" w14:textId="77777777" w:rsidR="00080205" w:rsidRDefault="00080205">
      <w:pPr>
        <w:spacing w:after="100" w:line="300" w:lineRule="auto"/>
        <w:jc w:val="center"/>
      </w:pPr>
    </w:p>
    <w:p w14:paraId="3041EBE6" w14:textId="3E8B56C2" w:rsidR="00014EBB" w:rsidRPr="001B041D" w:rsidRDefault="00000000">
      <w:pPr>
        <w:spacing w:after="100" w:line="300" w:lineRule="auto"/>
        <w:jc w:val="center"/>
      </w:pPr>
      <w:r>
        <w:t xml:space="preserve">— </w:t>
      </w:r>
      <w:r>
        <w:rPr>
          <w:b/>
          <w:bCs/>
        </w:rPr>
        <w:t>RICORRENTE</w:t>
      </w:r>
      <w:r>
        <w:t xml:space="preserve"> —</w:t>
      </w:r>
    </w:p>
    <w:p w14:paraId="6C03A706" w14:textId="77777777" w:rsidR="00014EBB" w:rsidRPr="001B041D" w:rsidRDefault="00000000">
      <w:pPr>
        <w:spacing w:after="100" w:line="300" w:lineRule="auto"/>
        <w:jc w:val="center"/>
      </w:pPr>
      <w:r>
        <w:t>contro</w:t>
      </w:r>
    </w:p>
    <w:p w14:paraId="632B9487" w14:textId="55628EF5" w:rsidR="00014EBB" w:rsidRPr="001B041D" w:rsidRDefault="00000000">
      <w:pPr>
        <w:spacing w:after="140" w:line="360" w:lineRule="auto"/>
        <w:jc w:val="both"/>
      </w:pPr>
      <w:r>
        <w:rPr>
          <w:b/>
          <w:bCs/>
        </w:rPr>
        <w:t>PRESIDENZA DEL CONSIGLIO DEI MINISTRI</w:t>
      </w:r>
      <w:r>
        <w:t xml:space="preserve">, in persona del Presidente del Consiglio pro tempore, C.F. 80188230587, e </w:t>
      </w:r>
      <w:r>
        <w:rPr>
          <w:b/>
          <w:bCs/>
        </w:rPr>
        <w:t>MINISTERO DELL'INTERNO</w:t>
      </w:r>
      <w:r>
        <w:t xml:space="preserve">, in persona del Ministro pro tempore, C.F. </w:t>
      </w:r>
      <w:r w:rsidR="001E0CC5" w:rsidRPr="001E0CC5">
        <w:t>97149560589</w:t>
      </w:r>
      <w:r>
        <w:t>, entrambi rappresentati e difesi ex lege dall'Avvocatura d</w:t>
      </w:r>
      <w:r w:rsidR="00867033">
        <w:t xml:space="preserve">istrettuale dello Stato di Salerno presso cui domiciliano in  </w:t>
      </w:r>
      <w:r>
        <w:t>Salerno al  Corso V. Emanuele, 58</w:t>
      </w:r>
    </w:p>
    <w:p w14:paraId="19EDE8EB" w14:textId="77777777" w:rsidR="00014EBB" w:rsidRPr="001B041D" w:rsidRDefault="00000000">
      <w:pPr>
        <w:spacing w:after="100" w:line="300" w:lineRule="auto"/>
        <w:jc w:val="center"/>
      </w:pPr>
      <w:r>
        <w:t xml:space="preserve">— </w:t>
      </w:r>
      <w:r>
        <w:rPr>
          <w:b/>
          <w:bCs/>
        </w:rPr>
        <w:t>CONVENUTI</w:t>
      </w:r>
      <w:r>
        <w:t xml:space="preserve"> —</w:t>
      </w:r>
    </w:p>
    <w:p w14:paraId="570D4C19" w14:textId="77777777" w:rsidR="00014EBB" w:rsidRPr="001B041D" w:rsidRDefault="00000000">
      <w:pPr>
        <w:keepNext/>
        <w:spacing w:before="300" w:after="160"/>
        <w:jc w:val="center"/>
      </w:pPr>
      <w:r>
        <w:rPr>
          <w:b/>
          <w:bCs/>
        </w:rPr>
        <w:t>PREMESSO CHE</w:t>
      </w:r>
    </w:p>
    <w:p w14:paraId="342D34EC" w14:textId="4A041863" w:rsidR="00014EBB" w:rsidRPr="001B041D" w:rsidRDefault="00000000">
      <w:pPr>
        <w:spacing w:after="140" w:line="360" w:lineRule="auto"/>
        <w:jc w:val="both"/>
      </w:pPr>
      <w:r>
        <w:t>– la legge 9 ottobre 2026, n. 180, recante «Disposizioni in materia di elezioni della Camera dei deputati e del Senato della Repubblica», pubblicata nella Gazzetta Ufficiale n. 235 del 9 ottobre 2026, è entrata in vigore il 24 ottobre 2026 (doc. 2);</w:t>
      </w:r>
    </w:p>
    <w:p w14:paraId="45541368" w14:textId="77777777" w:rsidR="00014EBB" w:rsidRPr="001B041D" w:rsidRDefault="00000000">
      <w:pPr>
        <w:spacing w:after="140" w:line="360" w:lineRule="auto"/>
        <w:jc w:val="both"/>
      </w:pPr>
      <w:r>
        <w:t xml:space="preserve">– la legge ha modificato il d.P.R. 30 marzo 1957, n. 361 (art. 1), e il d.lgs. 20 dicembre 1993, n. 533 (art. 2). In particolare: (a) ha introdotto un premio di governabilità di settanta seggi alla Camera e di trentacinque seggi al Senato, attribuito alla lista o coalizione che abbia conseguito </w:t>
      </w:r>
      <w:r>
        <w:lastRenderedPageBreak/>
        <w:t>il maggior numero di voti validi a livello nazionale e almeno il 42 per cento dei voti validi in entrambe le Camere; (b) ha previsto liste circoscrizionali destinate all'attribuzione dei seggi del premio; (c) ha consentito l'espressione di preferenze per i soli candidati diversi dal capolista; (d) ha elevato il numero delle sottoscrizioni richieste per la presentazione delle liste, mantenendo il regime precedente per le forze costituite in gruppo parlamentare; (e) ha introdotto l'indicazione, all'atto della presentazione delle liste, della persona proposta per l'incarico di Presidente del Consiglio dei ministri;</w:t>
      </w:r>
    </w:p>
    <w:p w14:paraId="4579562C" w14:textId="77777777" w:rsidR="00014EBB" w:rsidRPr="001B041D" w:rsidRDefault="00000000">
      <w:pPr>
        <w:spacing w:after="140" w:line="360" w:lineRule="auto"/>
        <w:jc w:val="both"/>
      </w:pPr>
      <w:r>
        <w:t>– il ricorrente, in quanto iscritto nelle liste elettorali e maggiorenne, è elettore sia per la Camera dei deputati sia per il Senato della Repubblica (art. 58, primo comma, Cost., come modificato dalla legge costituzionale 18 ottobre 2021, n. 1). Egli eserciterà il proprio diritto di voto nelle prossime elezioni politiche, destinate a svolgersi, salvo nuovi interventi legislativi, secondo la disciplina introdotta dalla legge n. 180 del 2026, al più tardi alla scadenza naturale della legislatura;</w:t>
      </w:r>
    </w:p>
    <w:p w14:paraId="5AEBA435" w14:textId="77777777" w:rsidR="00014EBB" w:rsidRPr="001B041D" w:rsidRDefault="00000000">
      <w:pPr>
        <w:spacing w:after="140" w:line="360" w:lineRule="auto"/>
        <w:jc w:val="both"/>
      </w:pPr>
      <w:r>
        <w:t>– con l'entrata in vigore della legge n. 180 del 2026 è sorta un'incertezza oggettiva sulla portata del diritto di voto del ricorrente, perché le nuove regole ne condizionano l'esercizio in termini che il ricorrente ritiene non conformi alla Costituzione;</w:t>
      </w:r>
    </w:p>
    <w:p w14:paraId="1D07775F" w14:textId="77777777" w:rsidR="00014EBB" w:rsidRPr="001B041D" w:rsidRDefault="00000000">
      <w:pPr>
        <w:spacing w:after="140" w:line="360" w:lineRule="auto"/>
        <w:jc w:val="both"/>
      </w:pPr>
      <w:r>
        <w:t>tutto ciò premesso, il ricorrente propone ricorso per le seguenti ragioni.</w:t>
      </w:r>
    </w:p>
    <w:p w14:paraId="427B437D" w14:textId="77777777" w:rsidR="00014EBB" w:rsidRPr="001B041D" w:rsidRDefault="00000000">
      <w:pPr>
        <w:keepNext/>
        <w:spacing w:before="300" w:after="160"/>
        <w:jc w:val="center"/>
      </w:pPr>
      <w:r>
        <w:rPr>
          <w:b/>
          <w:bCs/>
        </w:rPr>
        <w:t>I. OGGETTO DELLA DOMANDA</w:t>
      </w:r>
    </w:p>
    <w:p w14:paraId="0DD8F34C" w14:textId="77777777" w:rsidR="00014EBB" w:rsidRPr="001B041D" w:rsidRDefault="00000000">
      <w:pPr>
        <w:spacing w:after="140" w:line="360" w:lineRule="auto"/>
        <w:jc w:val="both"/>
      </w:pPr>
      <w:r>
        <w:t>Il sindacato sulla legittimità costituzionale delle leggi spetta alla Corte costituzionale. A codesto Tribunale il ricorrente chiede l'accertamento del proprio diritto.</w:t>
      </w:r>
    </w:p>
    <w:p w14:paraId="56FA58C4" w14:textId="77777777" w:rsidR="00014EBB" w:rsidRPr="001B041D" w:rsidRDefault="00000000">
      <w:pPr>
        <w:spacing w:after="140" w:line="360" w:lineRule="auto"/>
        <w:jc w:val="both"/>
      </w:pPr>
      <w:r>
        <w:t>Il ricorrente propone una domanda di accertamento del proprio diritto soggettivo di elettorato attivo. Chiede in particolare che sia accertato il suo diritto di votare per la Camera dei deputati e per il Senato della Repubblica con i caratteri di libertà, eguaglianza, personalità e immediatezza garantiti dagli artt. 1, secondo comma, 3, 48, secondo comma, 56 e 58 Cost. Chiede inoltre che sia accertato il suo diritto a che il voto sia trasformato in rappresentanza secondo regole conformi a tali principi.</w:t>
      </w:r>
    </w:p>
    <w:p w14:paraId="5D2C2CD8" w14:textId="77777777" w:rsidR="00014EBB" w:rsidRPr="001B041D" w:rsidRDefault="00000000">
      <w:pPr>
        <w:spacing w:after="140" w:line="360" w:lineRule="auto"/>
        <w:jc w:val="both"/>
      </w:pPr>
      <w:r>
        <w:t>Il ricorrente sostiene che il pieno esercizio di questo diritto è compromesso da specifiche disposizioni della legge n. 180 del 2026, indicate puntualmente ai §§ VII-XII. La decisione sulla domanda dipende quindi, in via pregiudiziale, dalla soluzione delle questioni di legittimità costituzionale che lo stesso ricorrente prospetta. Tali questioni costituiscono un passaggio necessario per decidere la domanda, ma non ne sono l'oggetto (v. § V).</w:t>
      </w:r>
    </w:p>
    <w:p w14:paraId="02C14BEA" w14:textId="77777777" w:rsidR="00014EBB" w:rsidRPr="001B041D" w:rsidRDefault="00000000">
      <w:pPr>
        <w:keepNext/>
        <w:spacing w:before="300" w:after="160"/>
        <w:jc w:val="center"/>
      </w:pPr>
      <w:r>
        <w:rPr>
          <w:b/>
          <w:bCs/>
        </w:rPr>
        <w:t>II. IL DIRITTO SOGGETTIVO DEL RICORRENTE E LA SUA LEGITTIMAZIONE</w:t>
      </w:r>
    </w:p>
    <w:p w14:paraId="4C8A03A2" w14:textId="0714F6EC" w:rsidR="00014EBB" w:rsidRPr="001B041D" w:rsidRDefault="00000000">
      <w:pPr>
        <w:spacing w:after="140" w:line="360" w:lineRule="auto"/>
        <w:jc w:val="both"/>
      </w:pPr>
      <w:r>
        <w:t>Il ricorrente agisce quale titolare del diritto di elettorato attivo, garantito dagli artt. 1, secondo comma, 3 e 48 Cost. e, per le elezioni delle Camere, dagli artt. 56 e 58 Cost. È iscritto nelle liste elettorali del Comune di Salerno (doc. 1) ed è elettore per entrambe le Camere.</w:t>
      </w:r>
    </w:p>
    <w:p w14:paraId="65BA3D76" w14:textId="77777777" w:rsidR="00014EBB" w:rsidRPr="001B041D" w:rsidRDefault="00000000">
      <w:pPr>
        <w:spacing w:after="140" w:line="360" w:lineRule="auto"/>
        <w:jc w:val="both"/>
      </w:pPr>
      <w:r>
        <w:t>Il diritto di voto non si esaurisce nella possibilità materiale di accedere al seggio e di depositare una scheda valida. La sua garanzia costituzionale comprende anche le regole con cui i voti si trasformano in seggi e i rappresentanti vengono selezionati. Proprio su questo terreno la Corte costituzionale ha esercitato il proprio sindacato con le sentenze n. 1 del 2014 e n. 35 del 2017.</w:t>
      </w:r>
    </w:p>
    <w:p w14:paraId="34D4C005" w14:textId="77777777" w:rsidR="00014EBB" w:rsidRPr="001B041D" w:rsidRDefault="00000000">
      <w:pPr>
        <w:spacing w:after="140" w:line="360" w:lineRule="auto"/>
        <w:jc w:val="both"/>
      </w:pPr>
      <w:r>
        <w:t>Il ricorrente non pretende che il suo voto produca l'elezione di un determinato candidato, né che il sistema elettorale debba essere integralmente proporzionale. Deduce invece che alcune specifiche regole introdotte dalla legge n. 180 del 2026 alterano in misura irragionevole il peso del suo voto e la sua possibilità di concorrere alla scelta personale dei rappresentanti. Si tratta di una lesione della sua posizione individuale, non di un mero dissenso politico.</w:t>
      </w:r>
    </w:p>
    <w:p w14:paraId="60D745B9" w14:textId="77777777" w:rsidR="00014EBB" w:rsidRPr="001B041D" w:rsidRDefault="00000000">
      <w:pPr>
        <w:keepNext/>
        <w:spacing w:before="300" w:after="160"/>
        <w:jc w:val="center"/>
      </w:pPr>
      <w:r>
        <w:rPr>
          <w:b/>
          <w:bCs/>
        </w:rPr>
        <w:t>III. GIURISDIZIONE, COMPETENZA E RITO</w:t>
      </w:r>
    </w:p>
    <w:p w14:paraId="3D9AB61B" w14:textId="77777777" w:rsidR="00014EBB" w:rsidRPr="001B041D" w:rsidRDefault="00000000">
      <w:pPr>
        <w:keepNext/>
        <w:spacing w:before="200" w:after="120"/>
      </w:pPr>
      <w:r>
        <w:rPr>
          <w:b/>
          <w:bCs/>
          <w:i/>
          <w:iCs/>
        </w:rPr>
        <w:t>Giurisdizione</w:t>
      </w:r>
    </w:p>
    <w:p w14:paraId="7348F2DC" w14:textId="77777777" w:rsidR="00014EBB" w:rsidRPr="001B041D" w:rsidRDefault="00000000">
      <w:pPr>
        <w:spacing w:after="140" w:line="360" w:lineRule="auto"/>
        <w:jc w:val="both"/>
      </w:pPr>
      <w:r>
        <w:t>La domanda di tutela del diritto di elettorato attivo proposta prima e al di fuori del procedimento elettorale appartiene alla giurisdizione del giudice ordinario, «giudice naturale dei diritti fondamentali e, tra questi, dei diritti politici». La giurisdizione amministrativa in materia elettorale non è esclusiva e riguarda le operazioni elettorali, dalla convocazione dei comizi alla proclamazione degli eletti (Cass., Sez. Un., 20 ottobre 2016, n. 21262, resa in un giudizio di accertamento promosso da elettori nei confronti di una legge elettorale regionale). La stessa pronuncia ha precisato che un'eventuale carenza di interesse ad agire attiene alle condizioni dell'azione, la cui valutazione spetta al giudice adito, e non al riparto di giurisdizione.</w:t>
      </w:r>
    </w:p>
    <w:p w14:paraId="5099E5F2" w14:textId="77777777" w:rsidR="00014EBB" w:rsidRPr="001B041D" w:rsidRDefault="00000000">
      <w:pPr>
        <w:keepNext/>
        <w:spacing w:before="200" w:after="120"/>
      </w:pPr>
      <w:r>
        <w:rPr>
          <w:b/>
          <w:bCs/>
          <w:i/>
          <w:iCs/>
        </w:rPr>
        <w:t>Competenza per materia, valore e territorio</w:t>
      </w:r>
    </w:p>
    <w:p w14:paraId="3B1750DA" w14:textId="77777777" w:rsidR="00014EBB" w:rsidRPr="001B041D" w:rsidRDefault="00000000">
      <w:pPr>
        <w:spacing w:after="140" w:line="360" w:lineRule="auto"/>
        <w:jc w:val="both"/>
      </w:pPr>
      <w:r>
        <w:t>La causa ha valore indeterminabile e rientra nella competenza del Tribunale (art. 9, secondo comma, c.p.c.).</w:t>
      </w:r>
    </w:p>
    <w:p w14:paraId="0885902B" w14:textId="3B227197" w:rsidR="00014EBB" w:rsidRPr="001B041D" w:rsidRDefault="00000000">
      <w:pPr>
        <w:spacing w:after="140" w:line="360" w:lineRule="auto"/>
        <w:jc w:val="both"/>
      </w:pPr>
      <w:r>
        <w:t>Poiché sono convenute amministrazioni dello Stato, la competenza per territorio è determinata ai sensi dell'art. 25 c.p.c. e degli artt. 6 e 7 del R.D. 30 ottobre 1933, n. 1611: è competente il tribunale del luogo in cui ha sede l'ufficio dell'Avvocatura dello Stato nel cui distretto si trova il giudice che sarebbe competente secondo le norme ordinarie. Il diritto di cui si chiede l'accertamento deve essere esercitato nel Comune di Salerno, nelle cui liste elettorali il ricorrente è iscritto e che ricade nel distretto della Corte d'appello di Salerno, ove ha sede l'Avvocatura distrettuale dello Stato. È pertanto competente il Tribunale di Salerno.</w:t>
      </w:r>
    </w:p>
    <w:p w14:paraId="06F8745A" w14:textId="77777777" w:rsidR="00014EBB" w:rsidRPr="001B041D" w:rsidRDefault="00000000">
      <w:pPr>
        <w:keepNext/>
        <w:spacing w:before="200" w:after="120"/>
      </w:pPr>
      <w:r>
        <w:rPr>
          <w:b/>
          <w:bCs/>
          <w:i/>
          <w:iCs/>
        </w:rPr>
        <w:t>Rito</w:t>
      </w:r>
    </w:p>
    <w:p w14:paraId="0494530D" w14:textId="0024EA1F" w:rsidR="00014EBB" w:rsidRPr="001B041D" w:rsidRDefault="00000000">
      <w:pPr>
        <w:spacing w:after="140" w:line="360" w:lineRule="auto"/>
        <w:jc w:val="both"/>
      </w:pPr>
      <w:r>
        <w:t>La controversia è introdotta con il procedimento semplificato di cognizione (artt. 281-decies ss. c.p.c.). I fatti rilevanti (la qualità di elettore del ricorrente e il contenuto della legge) non sono controversi e risultano da documenti. La causa verte su questioni di diritto e non richiede un'istruzione complessa. Le simulazioni numeriche prodotte (doc. 4) servono a illustrare il funzionamento delle regole censurate, non a provare fatti contestati.</w:t>
      </w:r>
      <w:r w:rsidR="00952BF8">
        <w:t xml:space="preserve"> Peraltro la causa, che non rientra tra quelle riservate alla decisione collegiale dall’art. 50-bis c.p.c., è decisa dal tribunale in composizione monocratica; la domanda può pertanto essere proposta nelle forme del procedimento semplificato anche ai sensi dell’art. 281-decies, secondo comma, c.p.c.</w:t>
      </w:r>
    </w:p>
    <w:p w14:paraId="4942CF99" w14:textId="77777777" w:rsidR="00014EBB" w:rsidRPr="001B041D" w:rsidRDefault="00000000">
      <w:pPr>
        <w:keepNext/>
        <w:spacing w:before="300" w:after="160"/>
        <w:jc w:val="center"/>
      </w:pPr>
      <w:r>
        <w:rPr>
          <w:b/>
          <w:bCs/>
        </w:rPr>
        <w:t>IV. INTERESSE AD AGIRE</w:t>
      </w:r>
    </w:p>
    <w:p w14:paraId="2322EB10" w14:textId="77777777" w:rsidR="00014EBB" w:rsidRPr="001B041D" w:rsidRDefault="00000000">
      <w:pPr>
        <w:spacing w:after="140" w:line="360" w:lineRule="auto"/>
        <w:jc w:val="both"/>
      </w:pPr>
      <w:r>
        <w:t>L'interesse ad agire è concreto e attuale. Non coincide con il generico interesse alla legalità costituzionale. Si fonda sulla posizione individuale del ricorrente quale elettore, il cui diritto è oggi disciplinato dalle disposizioni censurate.</w:t>
      </w:r>
    </w:p>
    <w:p w14:paraId="0DA08D6C" w14:textId="77777777" w:rsidR="00014EBB" w:rsidRPr="001B041D" w:rsidRDefault="00000000">
      <w:pPr>
        <w:spacing w:after="140" w:line="360" w:lineRule="auto"/>
        <w:jc w:val="both"/>
      </w:pPr>
      <w:r>
        <w:t>Con l'entrata in vigore della legge n. 180 del 2026, avvenuta il 24 ottobre 2026, è sorta un'incertezza oggettiva sulla portata del diritto di voto del ricorrente. È questa la situazione che la Corte costituzionale ha ritenuto idonea a fondare l'interesse ad agire in accertamento. Nella sentenza n. 35 del 2017 la Corte ha giudicato non implausibile la motivazione dei giudici rimettenti che riconducevano l'interesse dei ricorrenti all'entrata in vigore della nuova legge elettorale. Ha precisato inoltre che tale interesse non era escluso né dal differimento dell'applicabilità della legge, né dal fatto che la legge non fosse mai stata applicata (sent. n. 35 del 2017, massima n. 39594).</w:t>
      </w:r>
    </w:p>
    <w:p w14:paraId="635E1C15" w14:textId="77777777" w:rsidR="00014EBB" w:rsidRPr="001B041D" w:rsidRDefault="00000000">
      <w:pPr>
        <w:spacing w:after="140" w:line="360" w:lineRule="auto"/>
        <w:jc w:val="both"/>
      </w:pPr>
      <w:r w:rsidRPr="00AD6BD3">
        <w:t>Il principio risale alla sentenza n. 1 del 2014, nella quale la Corte ha ritenuto plausibile la motivazione del giudice rimettente secondo cui gli elettori avevano agito allo scopo «di rimuovere un pregiudizio», frutto di «una (già avvenuta) modificazione della realtà giuridica che postula di essere rimossa mediante un'attività ulteriore, giuridica e materiale, che consenta ai cittadini elettori di esercitare realmente il diritto di voto in modo pieno e in sintonia con i valori costituzionali» (sent. n. 1 del 2014, punto 2 del Considerato in diritto).</w:t>
      </w:r>
    </w:p>
    <w:p w14:paraId="4BE7E077" w14:textId="77777777" w:rsidR="00014EBB" w:rsidRPr="001B041D" w:rsidRDefault="00000000">
      <w:pPr>
        <w:spacing w:after="140" w:line="360" w:lineRule="auto"/>
        <w:jc w:val="both"/>
      </w:pPr>
      <w:r>
        <w:t>L'utilità che il ricorrente persegue è l'accertamento del contenuto del proprio diritto e la conseguente rimozione dell'incertezza. Questa tutela va ottenuta prima che si svolgano le elezioni. Dopo la convocazione dei comizi e lo svolgimento delle elezioni, infatti, le contestazioni sulle elezioni politiche nazionali sono riservate alle Camere (art. 66 Cost.), e non vi sarebbe più un giudice in grado di accertare la lesione.</w:t>
      </w:r>
    </w:p>
    <w:p w14:paraId="2C684625" w14:textId="77777777" w:rsidR="00014EBB" w:rsidRPr="001B041D" w:rsidRDefault="00000000">
      <w:pPr>
        <w:keepNext/>
        <w:spacing w:before="300" w:after="160"/>
        <w:jc w:val="center"/>
      </w:pPr>
      <w:r>
        <w:rPr>
          <w:b/>
          <w:bCs/>
        </w:rPr>
        <w:t>V. RAPPORTO TRA LA DOMANDA E LE QUESTIONI DI LEGITTIMITÀ COSTITUZIONALE</w:t>
      </w:r>
    </w:p>
    <w:p w14:paraId="236B8B00" w14:textId="77777777" w:rsidR="00EB0D5C" w:rsidRPr="001B041D" w:rsidRDefault="00EB0D5C">
      <w:pPr>
        <w:spacing w:after="140" w:line="360" w:lineRule="auto"/>
        <w:jc w:val="both"/>
      </w:pPr>
      <w:r>
        <w:t>La domanda proposta ha un oggetto proprio, distinto da quello delle questioni di legittimità costituzionale che la sua decisione presuppone. Ciò emerge da tre elementi.</w:t>
      </w:r>
    </w:p>
    <w:p w14:paraId="3C29872B" w14:textId="3663882A" w:rsidR="00014EBB" w:rsidRPr="001B041D" w:rsidRDefault="00000000">
      <w:pPr>
        <w:spacing w:after="140" w:line="360" w:lineRule="auto"/>
        <w:jc w:val="both"/>
      </w:pPr>
      <w:r>
        <w:rPr>
          <w:b/>
          <w:bCs/>
        </w:rPr>
        <w:t>a) Oggetti distinti.</w:t>
      </w:r>
      <w:r>
        <w:t xml:space="preserve"> L'oggetto del giudizio è l'accertamento del diritto del ricorrente a votare con i caratteri costituzionalmente garantiti. L'oggetto delle questioni di legittimità costituzionale è la legge elettorale. I due oggetti non coincidono. La Corte costituzionale ha espressamente ritenuto soddisfatto il requisito della pregiudizialità per azioni di accertamento di questo tipo, rilevando che l'oggetto della questione non coincide con quello del giudizio principale (sent. n. 35 del 2017, massima n. 39594).</w:t>
      </w:r>
    </w:p>
    <w:p w14:paraId="199B093A" w14:textId="60AC4099" w:rsidR="00014EBB" w:rsidRPr="001B041D" w:rsidRDefault="00000000">
      <w:pPr>
        <w:spacing w:after="140" w:line="360" w:lineRule="auto"/>
        <w:jc w:val="both"/>
      </w:pPr>
      <w:r w:rsidRPr="00AD6BD3">
        <w:t xml:space="preserve">Già la sentenza n. 1 del 2014 </w:t>
      </w:r>
      <w:r w:rsidR="00C96F33" w:rsidRPr="00AD6BD3">
        <w:t xml:space="preserve">della Corte costituzionale </w:t>
      </w:r>
      <w:r w:rsidRPr="00AD6BD3">
        <w:t>ha affermato che «l'ammissibilità delle questioni di legittimità costituzionale sollevate nel corso di tale giudizio si desume precisamente dalla peculiarità e dal rilievo costituzionale, da un lato, del diritto oggetto di accertamento; dall'altro, della legge che, per il sospetto di illegittimità costituzionale, ne rende incerta la portata» (punto 2 del Considerato in diritto).</w:t>
      </w:r>
    </w:p>
    <w:p w14:paraId="20335D22" w14:textId="77777777" w:rsidR="00014EBB" w:rsidRPr="001B041D" w:rsidRDefault="00000000">
      <w:pPr>
        <w:spacing w:after="140" w:line="360" w:lineRule="auto"/>
        <w:jc w:val="both"/>
      </w:pPr>
      <w:r>
        <w:rPr>
          <w:b/>
          <w:bCs/>
        </w:rPr>
        <w:t>b) Residuo di decisione.</w:t>
      </w:r>
      <w:r>
        <w:t xml:space="preserve"> Dopo la pronuncia della Corte costituzionale resterà a codesto Tribunale da decidere la domanda di accertamento. Se le questioni saranno accolte, il Tribunale dovrà accertare la pienezza del diritto del ricorrente secondo la disciplina risultante. Se saranno respinte, dovrà rigettare la domanda. A questo scopo è rivolta la conclusione n. 4.</w:t>
      </w:r>
    </w:p>
    <w:p w14:paraId="6BBDC14C" w14:textId="77777777" w:rsidR="00014EBB" w:rsidRPr="001B041D" w:rsidRDefault="00000000">
      <w:pPr>
        <w:spacing w:after="140" w:line="360" w:lineRule="auto"/>
        <w:jc w:val="both"/>
      </w:pPr>
      <w:r w:rsidRPr="00AD6BD3">
        <w:t>La Corte ha ritenuto plausibile, già nella sentenza n. 1 del 2014, la motivazione secondo cui l'eventuale accoglimento delle questioni «non esaurirebbe la tutela richiesta nel giudizio principale, che si realizzerebbe solo a seguito ed in virtù della pronuncia con la quale il giudice ordinario accerta il contenuto del diritto dell'attore, all'esito della sentenza di questa Corte» (punto 2 del Considerato in diritto).</w:t>
      </w:r>
    </w:p>
    <w:p w14:paraId="6D889307" w14:textId="77777777" w:rsidR="00014EBB" w:rsidRPr="001B041D" w:rsidRDefault="00000000">
      <w:pPr>
        <w:spacing w:after="140" w:line="360" w:lineRule="auto"/>
        <w:jc w:val="both"/>
      </w:pPr>
      <w:r>
        <w:rPr>
          <w:b/>
          <w:bCs/>
        </w:rPr>
        <w:t>c) Assenza di altra tutela.</w:t>
      </w:r>
      <w:r>
        <w:t xml:space="preserve"> Per le elezioni politiche nazionali non esiste un giudice che possa conoscere delle controversie sul procedimento elettorale e sui suoi esiti, riservate alle Camere dall'art. 66 Cost. La Corte costituzionale ha individuato proprio in questa «zona franca» una delle ragioni dell'ammissibilità delle questioni sollevate in giudizi di accertamento del diritto di voto (sent. n. 35 del 2017, massima n. 39594; sent. n. 240 del 2021, punto 4.2.3 del Considerato in diritto).</w:t>
      </w:r>
    </w:p>
    <w:p w14:paraId="69AD6888" w14:textId="77777777" w:rsidR="00014EBB" w:rsidRPr="001B041D" w:rsidRDefault="00000000">
      <w:pPr>
        <w:spacing w:after="140" w:line="360" w:lineRule="auto"/>
        <w:jc w:val="both"/>
      </w:pPr>
      <w:r w:rsidRPr="00AD6BD3">
        <w:t>La Corte lo ha affermato fin dalla sentenza n. 1 del 2014: non possono essere sottratte al sindacato di costituzionalità le leggi elettorali delle Camere, «che definiscono le regole della composizione di organi costituzionali essenziali per il funzionamento di un sistema democratico-rappresentativo»; diversamente «si determinerebbe un vulnus intollerabile per l'ordinamento costituzionale complessivamente considerato» (punto 2 del Considerato in diritto).</w:t>
      </w:r>
    </w:p>
    <w:p w14:paraId="2B7D5DCB" w14:textId="77777777" w:rsidR="00014EBB" w:rsidRPr="001B041D" w:rsidRDefault="00000000">
      <w:pPr>
        <w:keepNext/>
        <w:spacing w:before="300" w:after="160"/>
        <w:jc w:val="center"/>
      </w:pPr>
      <w:r>
        <w:rPr>
          <w:b/>
          <w:bCs/>
        </w:rPr>
        <w:t>VI. LA NORMATIVA DI RISULTA: AUTOSUFFICIENZA DELLA LEGGE ELETTORALE</w:t>
      </w:r>
    </w:p>
    <w:p w14:paraId="0383FE1B" w14:textId="77777777" w:rsidR="00014EBB" w:rsidRPr="001B041D" w:rsidRDefault="00000000">
      <w:pPr>
        <w:spacing w:after="140" w:line="360" w:lineRule="auto"/>
        <w:jc w:val="both"/>
      </w:pPr>
      <w:r>
        <w:t>Le leggi elettorali delle Camere sono leggi costituzionalmente necessarie. Una pronuncia di accoglimento deve quindi lasciare in vigore una disciplina immediatamente applicabile, idonea a garantire in ogni momento il rinnovo delle Camere.</w:t>
      </w:r>
    </w:p>
    <w:p w14:paraId="79B7FE9D" w14:textId="77777777" w:rsidR="00014EBB" w:rsidRPr="001B041D" w:rsidRDefault="00000000">
      <w:pPr>
        <w:spacing w:after="140" w:line="360" w:lineRule="auto"/>
        <w:jc w:val="both"/>
      </w:pPr>
      <w:r>
        <w:t>La Corte costituzionale ha dichiarato illegittime parti della legge elettorale solo dopo aver verificato che la normativa residua fosse «complessivamente idonea a garantire il rinnovo, in ogni momento, delle assemblee parlamentari» (sent. n. 1 del 2014, massima n. 38030). Ha applicato lo stesso criterio nella sentenza n. 35 del 2017, sia per il turno di ballottaggio (massima n. 39609), sia per la scelta discrezionale del collegio da parte del capolista eletto in più collegi. In quest'ultimo caso, caducata la scelta, è rimasto operante «in funzione sostitutiva» il criterio residuale del sorteggio già previsto dalla legge (massima n. 40257).</w:t>
      </w:r>
    </w:p>
    <w:p w14:paraId="22AFBEB4" w14:textId="77777777" w:rsidR="00014EBB" w:rsidRPr="001B041D" w:rsidRDefault="00000000">
      <w:pPr>
        <w:spacing w:after="140" w:line="360" w:lineRule="auto"/>
        <w:jc w:val="both"/>
      </w:pPr>
      <w:r>
        <w:t>La Corte ha invece dichiarato inammissibili questioni che richiedevano un intervento manipolativo riservato alla discrezionalità del legislatore (sent. n. 240 del 2021).</w:t>
      </w:r>
    </w:p>
    <w:p w14:paraId="4B33C7FF" w14:textId="77777777" w:rsidR="00014EBB" w:rsidRPr="001B041D" w:rsidRDefault="00000000">
      <w:pPr>
        <w:spacing w:after="140" w:line="360" w:lineRule="auto"/>
        <w:jc w:val="both"/>
      </w:pPr>
      <w:r>
        <w:t>Per questa ragione, per ciascuna delle questioni che seguono il ricorrente indica: le disposizioni censurate; il tipo di pronuncia richiesta (ablativa o sostitutiva); la normativa che resterebbe in vigore e la sua immediata applicabilità.</w:t>
      </w:r>
    </w:p>
    <w:p w14:paraId="1C8C5BDA" w14:textId="77777777" w:rsidR="00014EBB" w:rsidRPr="001B041D" w:rsidRDefault="00000000">
      <w:pPr>
        <w:keepNext/>
        <w:spacing w:before="300" w:after="160"/>
        <w:jc w:val="center"/>
      </w:pPr>
      <w:r>
        <w:rPr>
          <w:b/>
          <w:bCs/>
        </w:rPr>
        <w:t>VII. PRIMA QUESTIONE: IL PREMIO DI GOVERNABILITÀ E L'EGUAGLIANZA DEL VOTO</w:t>
      </w:r>
    </w:p>
    <w:p w14:paraId="4FAC8858" w14:textId="77777777" w:rsidR="00014EBB" w:rsidRPr="001B041D" w:rsidRDefault="00000000">
      <w:pPr>
        <w:keepNext/>
        <w:spacing w:before="200" w:after="120"/>
      </w:pPr>
      <w:r>
        <w:rPr>
          <w:b/>
          <w:bCs/>
          <w:i/>
          <w:iCs/>
        </w:rPr>
        <w:t>Disposizioni censurate</w:t>
      </w:r>
    </w:p>
    <w:p w14:paraId="28F7831E" w14:textId="77777777" w:rsidR="00014EBB" w:rsidRPr="001B041D" w:rsidRDefault="00000000">
      <w:pPr>
        <w:spacing w:after="140" w:line="360" w:lineRule="auto"/>
        <w:jc w:val="both"/>
      </w:pPr>
      <w:r>
        <w:t>Per la Camera dei deputati:</w:t>
      </w:r>
    </w:p>
    <w:p w14:paraId="3A6DE5FF" w14:textId="77777777" w:rsidR="00014EBB" w:rsidRPr="001B041D" w:rsidRDefault="00000000">
      <w:pPr>
        <w:spacing w:after="140" w:line="360" w:lineRule="auto"/>
        <w:ind w:left="567"/>
        <w:jc w:val="both"/>
      </w:pPr>
      <w:r>
        <w:t>– art. 1, comma 4, del d.P.R. n. 361 del 1957, come sostituito dall'art. 1, comma 1, lettera d), della legge n. 180 del 2026, nella parte in cui prevede il premio di governabilità di settanta seggi;</w:t>
      </w:r>
    </w:p>
    <w:p w14:paraId="251D4825" w14:textId="77777777" w:rsidR="00014EBB" w:rsidRPr="001B041D" w:rsidRDefault="00000000">
      <w:pPr>
        <w:spacing w:after="140" w:line="360" w:lineRule="auto"/>
        <w:ind w:left="567"/>
        <w:jc w:val="both"/>
      </w:pPr>
      <w:r>
        <w:t>– art. 83, comma 1, lettere e-sexies), f-bis) e f-ter), e commi 1-ter e 1-quinquies, del medesimo decreto, come introdotti dall'art. 1, comma 22, della legge n. 180 del 2026; art. 83, comma 1, lettera e-septies), come introdotta dalla medesima disposizione, limitatamente alle parole «qualora la verifica di cui alla lettera e-quater) abbia dato esito negativo, ovvero una o entrambe le verifiche di cui alla lettera e-quinquies) abbiano dato esito negativo,»;</w:t>
      </w:r>
    </w:p>
    <w:p w14:paraId="3045160B" w14:textId="77777777" w:rsidR="00014EBB" w:rsidRPr="001B041D" w:rsidRDefault="00000000">
      <w:pPr>
        <w:spacing w:after="140" w:line="360" w:lineRule="auto"/>
        <w:ind w:left="567"/>
        <w:jc w:val="both"/>
      </w:pPr>
      <w:r>
        <w:t>– art. 83-bis, comma 1, lettera a), del d.P.R. n. 361 del 1957, come sostituito dall'art. 1, comma 23, lettera a), della legge n. 180 del 2026, che dispone la proclamazione dei candidati della lista circoscrizionale presentata dalla lista singola o dalla coalizione di liste cui è stato attribuito il premio di governabilità;</w:t>
      </w:r>
    </w:p>
    <w:p w14:paraId="6F658B7B" w14:textId="77777777" w:rsidR="00014EBB" w:rsidRPr="001B041D" w:rsidRDefault="00000000">
      <w:pPr>
        <w:spacing w:after="140" w:line="360" w:lineRule="auto"/>
        <w:ind w:left="567"/>
        <w:jc w:val="both"/>
      </w:pPr>
      <w:r>
        <w:t>– art. 3 del d.P.R. n. 361 del 1957, come sostituito dall'art. 1, comma 3, della legge n. 180 del 2026, e art. 18-bis, comma 2-bis, del medesimo decreto, come sostituito dall'art. 1, comma 8, lettera e), della legge n. 180 del 2026, nella parte in cui disciplinano la ripartizione dei seggi del premio e le liste circoscrizionali destinate alla loro attribuzione. Per queste disposizioni si chiede la dichiarazione di illegittimità in via consequenziale (art. 27 della legge n. 87 del 1953).</w:t>
      </w:r>
    </w:p>
    <w:p w14:paraId="25A4D7EF" w14:textId="77777777" w:rsidR="00014EBB" w:rsidRPr="001B041D" w:rsidRDefault="00000000">
      <w:pPr>
        <w:spacing w:after="140" w:line="360" w:lineRule="auto"/>
        <w:jc w:val="both"/>
      </w:pPr>
      <w:r>
        <w:t>Per il Senato della Repubblica: art. 1, comma 2, secondo periodo, del d.lgs. 20 dicembre 1993, n. 533, come sostituito dall'art. 2, comma 1, lettera b), della legge n. 180 del 2026, limitatamente alle parole «, con l'eventuale attribuzione di un premio di governabilità da assegnare, alle condizioni previste dall'articolo 16-bis, alla lista singola o alla coalizione di liste che abbia conseguito il maggior numero di voti validi a livello nazionale in entrambe le Camere e che abbia conseguito almeno il 42 per cento di voti validi in ciascuna di esse», e terzo e quarto periodo del medesimo comma; art. 1, comma 2-ter, lettere a) e b), del medesimo decreto, come sostituito dall'art. 2, comma 1, lettera d); art. 16-bis, comma 1, lettera e-quinquies), lettere da f-bis) a f-quater), e commi 1-ter e 1-quinquies, come introdotti dall'art. 2, comma 9, lettere e), g) e h); art. 16-bis, comma 1, lettera e-sexies), come introdotta dall'art. 2, comma 9, lettera e), limitatamente alle parole «qualora la verifica di cui alla lettera e-ter) abbia dato esito negativo, ovvero una o entrambe le verifiche di cui alla lettera e-quater) abbiano dato esito negativo,»; art. 17, comma 1, lettera a), come sostituito dall'art. 2, comma 10. Le stesse disposizioni sono censurate anche sotto il profilo dell'art. 57 Cost. nella terza questione (§ IX).</w:t>
      </w:r>
    </w:p>
    <w:p w14:paraId="3FFCB52E" w14:textId="77777777" w:rsidR="00014EBB" w:rsidRPr="001B041D" w:rsidRDefault="00000000">
      <w:pPr>
        <w:keepNext/>
        <w:spacing w:before="200" w:after="120"/>
      </w:pPr>
      <w:r>
        <w:rPr>
          <w:b/>
          <w:bCs/>
          <w:i/>
          <w:iCs/>
        </w:rPr>
        <w:t>Parametri</w:t>
      </w:r>
    </w:p>
    <w:p w14:paraId="5CBF78E1" w14:textId="77777777" w:rsidR="00014EBB" w:rsidRPr="001B041D" w:rsidRDefault="00000000">
      <w:pPr>
        <w:spacing w:after="140" w:line="360" w:lineRule="auto"/>
        <w:jc w:val="both"/>
      </w:pPr>
      <w:r>
        <w:t>Artt. 1, secondo comma, 3, 48, secondo comma, e 56 Cost.; per il Senato, anche art. 58 Cost.</w:t>
      </w:r>
    </w:p>
    <w:p w14:paraId="388D4168" w14:textId="77777777" w:rsidR="00014EBB" w:rsidRPr="001B041D" w:rsidRDefault="00000000">
      <w:pPr>
        <w:keepNext/>
        <w:spacing w:before="200" w:after="120"/>
      </w:pPr>
      <w:r>
        <w:rPr>
          <w:b/>
          <w:bCs/>
          <w:i/>
          <w:iCs/>
        </w:rPr>
        <w:t>Ragioni della censura</w:t>
      </w:r>
    </w:p>
    <w:p w14:paraId="1E12FB50" w14:textId="77777777" w:rsidR="00014EBB" w:rsidRPr="001B041D" w:rsidRDefault="00000000">
      <w:pPr>
        <w:spacing w:after="140" w:line="360" w:lineRule="auto"/>
        <w:jc w:val="both"/>
      </w:pPr>
      <w:r>
        <w:t>La sentenza n. 1 del 2014 ha dichiarato illegittimo il premio di maggioranza privo di una soglia minima di voti. La sentenza n. 35 del 2017 ha ritenuto non manifestamente irragionevole la soglia del 40 per cento dei voti validi. Ha però fatto salvo il controllo di proporzionalità per le ipotesi in cui una soglia «irragionevolmente bassa» determini una distorsione sproporzionata della rappresentatività (massima n. 39599).</w:t>
      </w:r>
    </w:p>
    <w:p w14:paraId="3022751A" w14:textId="77777777" w:rsidR="00014EBB" w:rsidRPr="001B041D" w:rsidRDefault="00000000">
      <w:pPr>
        <w:spacing w:after="140" w:line="360" w:lineRule="auto"/>
        <w:jc w:val="both"/>
      </w:pPr>
      <w:r>
        <w:t>La censura non riguarda la soglia del 42 per cento considerata in sé. Riguarda il modo in cui quella soglia viene raggiunta e i suoi effetti.</w:t>
      </w:r>
    </w:p>
    <w:p w14:paraId="235045E6" w14:textId="77777777" w:rsidR="00690AB4" w:rsidRPr="001B041D" w:rsidRDefault="00000000">
      <w:pPr>
        <w:spacing w:after="140" w:line="360" w:lineRule="auto"/>
        <w:jc w:val="both"/>
      </w:pPr>
      <w:r>
        <w:rPr>
          <w:b/>
          <w:bCs/>
        </w:rPr>
        <w:t>a) La soglia effettiva può essere inferiore a quella nominale.</w:t>
      </w:r>
      <w:r>
        <w:t xml:space="preserve"> All'interno delle coalizioni sono ammesse al riparto dei seggi le liste che abbiano conseguito almeno il 3 per cento dei voti validi e, in aggiunta, la lista con la maggiore cifra elettorale tra quelle rimaste sotto tale soglia (art. 83, comma 1, lettera e), numeri 2-bis e 2-ter, del d.P.R. n. 361 del 1957). Alla cifra di coalizione, rilevante per il raggiungimento del 42 per cento, concorrono invece i voti di tutte le liste coalizzate, comprese quelle rimaste sotto soglia e prive di seggi. La legge n. 180 del 2026 ha infatti soppresso il periodo dell'art. 83, comma 1, lettera c), che escludeva dalla cifra elettorale nazionale di coalizione i voti delle liste collegate rimaste sotto l'1 per cento («Non concorrono alla determinazione della cifra elettorale nazionale di coalizione i voti espressi a favore delle liste collegate…», terzo periodo della lettera c), nel testo introdotto dalla legge 3 novembre 2017, n. 165), e il corrispondente richiamo nella lettera d) (art. 1, comma 22, lettere b) e c), della legge n. 180 del 2026). Lo stesso ha fatto per il Senato (art. 16-bis, comma 1, lettere c) e d), del d.lgs. n. 533 del 1993, come modificati dall'art. 2, comma 9, lettere b) e c), della legge n. 180 del 2026).</w:t>
      </w:r>
    </w:p>
    <w:p w14:paraId="07324BF9" w14:textId="5A6B2EE4" w:rsidR="00014EBB" w:rsidRPr="001B041D" w:rsidRDefault="00000000">
      <w:pPr>
        <w:spacing w:after="140" w:line="360" w:lineRule="auto"/>
        <w:jc w:val="both"/>
      </w:pPr>
      <w:r>
        <w:t xml:space="preserve">Ne deriva che il premio può essere attribuito a una coalizione le cui liste effettivamente rappresentate in Parlamento hanno ottenuto una percentuale inferiore al 42 per cento e, in ipotesi, anche inferiore al 40 per cento già scrutinato dalla Corte. </w:t>
      </w:r>
    </w:p>
    <w:p w14:paraId="2F9953DE" w14:textId="40B00F75" w:rsidR="00014EBB" w:rsidRPr="001B041D" w:rsidRDefault="00000000">
      <w:pPr>
        <w:spacing w:after="140" w:line="360" w:lineRule="auto"/>
        <w:jc w:val="both"/>
      </w:pPr>
      <w:r>
        <w:rPr>
          <w:b/>
          <w:bCs/>
        </w:rPr>
        <w:t>b) La sovrarappresentazione.</w:t>
      </w:r>
      <w:r>
        <w:t xml:space="preserve"> Nella simulazione prodotta (doc. 4) la coalizione vincente, con il 44,0 per cento dei voti, ottiene 215 dei 384 seggi considerati, pari a circa il 56 per cento. Si tratta di settanta seggi fissi, attribuiti a prescindere dalla distanza dalla soglia, nel limite di 220 seggi.</w:t>
      </w:r>
    </w:p>
    <w:p w14:paraId="2903BE51" w14:textId="28EEBBEE" w:rsidR="0053519B" w:rsidRDefault="00000000" w:rsidP="0053519B">
      <w:pPr>
        <w:spacing w:after="140" w:line="360" w:lineRule="auto"/>
        <w:jc w:val="both"/>
      </w:pPr>
      <w:r>
        <w:rPr>
          <w:b/>
          <w:bCs/>
        </w:rPr>
        <w:t>c) Il premio non dipende dal distacco tra le prime due coalizioni.</w:t>
      </w:r>
      <w:r>
        <w:t xml:space="preserve"> La legge attribuisce il premio alla lista o coalizione che ha ottenuto la maggiore cifra elettorale nazionale, purché abbia raggiunto il 42 per cento dei voti validi sia alla Camera sia al Senato (art. 83, comma 1, lettere da e-ter) a e-sexies), del d.P.R. n. 361 del 1957; art. 16-bis, comma 1, lettere da e-bis) a e-quinquies), del d.lgs. n. 533 del 1993). Non richiede alcun distacco minimo dalla seconda. Il premio è inoltre fisso: settanta seggi alla Camera e trentacinque al Senato, qualunque sia il margine di vantaggio, nel solo limite dei tetti di 220 e di 113 seggi.</w:t>
      </w:r>
    </w:p>
    <w:p w14:paraId="5ED2DD32" w14:textId="69AC64E9" w:rsidR="0053519B" w:rsidRDefault="0053519B" w:rsidP="0053519B">
      <w:pPr>
        <w:spacing w:after="140" w:line="360" w:lineRule="auto"/>
        <w:jc w:val="both"/>
      </w:pPr>
      <w:r>
        <w:t>Due coalizioni possono quindi superare entrambe il 42 per cento: basta che insieme raccolgano almeno l’84 per cento dei voti validi. Non è un’ipotesi di scuola in un sistema che, abolendo i collegi uninominali e premiando le coalizioni, spinge le forze politiche ad aggregarsi in due poli.</w:t>
      </w:r>
    </w:p>
    <w:p w14:paraId="7E80A3C2" w14:textId="15A83B7A" w:rsidR="0053519B" w:rsidRDefault="0053519B" w:rsidP="0053519B">
      <w:pPr>
        <w:spacing w:after="140" w:line="360" w:lineRule="auto"/>
        <w:jc w:val="both"/>
      </w:pPr>
      <w:r>
        <w:t>In questa situazione il premio perde la funzione che lo giustifica. Non serve a far emergere una maggioranza che il voto non ha espresso, perché entrambe le coalizioni dispongono già di un consenso molto ampio. Serve soltanto a trasformare in netta una prevalenza anche minima, persino di un solo voto. A parità sostanziale di voti, le due coalizioni otterrebbero nel riparto proporzionale un numero di seggi pressoché identico; alla prima sono però attribuiti, in aggiunta, settanta seggi alla Camera e trentacinque al Senato, nel solo limite dei rispettivi tetti. Uno scarto irrilevante nei voti si traduce così in uno scarto che può raggiungere settanta seggi alla Camera e trentacinque al Senato.</w:t>
      </w:r>
    </w:p>
    <w:p w14:paraId="4BDA7D2C" w14:textId="6B728912" w:rsidR="0053519B" w:rsidRDefault="0053519B" w:rsidP="0053519B">
      <w:pPr>
        <w:spacing w:after="140" w:line="360" w:lineRule="auto"/>
        <w:jc w:val="both"/>
      </w:pPr>
      <w:r>
        <w:t>La sentenza n. 1 del 2014 ha censurato il premio che produceva «una eccessiva divaricazione tra la composizione dell’organo della rappresentanza politica» e la volontà dei cittadini espressa con il voto (punto 3.1 del Considerato in diritto). Qui la divaricazione non deriva dall’assenza di una soglia, ma dall’assenza di qualsiasi rapporto tra l’entità del premio e il distacco che dovrebbe giustificarlo. Un premio di misura fissa, attribuito allo stesso modo a chi prevale di un voto e a chi prevale di dieci punti, eccede quanto necessario al fine di governabilità, che il legislatore avrebbe potuto perseguire commisurando il premio, almeno in parte, al vantaggio effettivamente conseguito</w:t>
      </w:r>
      <w:r w:rsidR="00BC7707">
        <w:t>.</w:t>
      </w:r>
    </w:p>
    <w:p w14:paraId="3C902736" w14:textId="2EBDB8FF" w:rsidR="0053519B" w:rsidRDefault="0053519B" w:rsidP="0053519B">
      <w:pPr>
        <w:spacing w:after="140" w:line="360" w:lineRule="auto"/>
        <w:jc w:val="both"/>
      </w:pPr>
      <w:r w:rsidRPr="00AD6BD3">
        <w:t>Il premio «sovrabbondante» risulterebbe quindi irragionevole per i motivi esposti producendo una vistosa manipolazione del suffragio elettorale: la mancata previsione dell’incidenza del distacco tra le prime due liste o coalizioni di liste ai fini dell’attribuzione del premio è idonea a produrre uno scollamento tra volontà espressa dagli elettori e composizione delle Camere tale per cui il voto espresso in favore del polo di maggioranza relativa ha un peso ponderato ingiustificatamente maggiore. L’irragionevolezza si misura così in relazione alla funzionalità stessa delle regole elettorali a realizzare il proprio scopo precipuo, quello di dare vita in maniera compiuta alla rappresentanza politica. Si rileva altresì la violazione del vincolo del minor sacrificio possibile del principio costituzionale di rappresentatività</w:t>
      </w:r>
      <w:r w:rsidR="002971FB" w:rsidRPr="00AD6BD3">
        <w:t>.</w:t>
      </w:r>
    </w:p>
    <w:p w14:paraId="131F8120" w14:textId="71FE8252" w:rsidR="00014EBB" w:rsidRPr="001B041D" w:rsidRDefault="00000000" w:rsidP="002F656E">
      <w:pPr>
        <w:spacing w:after="140" w:line="360" w:lineRule="auto"/>
      </w:pPr>
      <w:r>
        <w:rPr>
          <w:b/>
          <w:bCs/>
        </w:rPr>
        <w:t>d) Disparità tra elettori secondo la collocazione della lista.</w:t>
      </w:r>
      <w:r>
        <w:t xml:space="preserve"> Il peso del voto dipende dalla scelta di coalizione della lista votata, cioè da un fattore estraneo all'elettore. Nella simulazione (doc. 4, scenario 2) una lista che corre da sola con il 2,4 per cento dei voti non ottiene seggi. Una lista coalizzata con l'1,5 per cento ne ottiene sei, grazie al recupero della prima lista sotto soglia. Lo stesso spostamento di una piccola lista dentro o fuori una coalizione decide se il premio scatti o meno, e quindi la distribuzione di settanta seggi.</w:t>
      </w:r>
    </w:p>
    <w:p w14:paraId="3AA9647E" w14:textId="6D659A47" w:rsidR="00014EBB" w:rsidRPr="001B041D" w:rsidRDefault="00000000">
      <w:pPr>
        <w:spacing w:after="140" w:line="360" w:lineRule="auto"/>
        <w:jc w:val="both"/>
      </w:pPr>
      <w:r>
        <w:rPr>
          <w:b/>
          <w:bCs/>
        </w:rPr>
        <w:t>e) La soglia è calcolata sui voti validi, senza alcun riferimento alla partecipazione al voto.</w:t>
      </w:r>
      <w:r>
        <w:t xml:space="preserve"> Il 42 per cento è riferito al «totale nazionale dei voti validi» (art. 83, comma 1, lettera e-quater), non agli elettori né ai votanti, e la legge non prevede alcuna soglia minima di partecipazione. Alle elezioni politiche del 2022 l'affluenza alla Camera è stata del 63,9 per cento degli aventi diritto, la più bassa della storia repubblicana (doc. 5). Con un'affluenza di questo livello, il 42 per cento dei voti validi corrisponde a circa un quarto del corpo elettorale </w:t>
      </w:r>
      <w:r>
        <w:rPr>
          <w:i/>
          <w:iCs/>
        </w:rPr>
        <w:t>(il 42 per cento del 63,9 per cento corrisponde a circa il 26,8 per cento degli aventi diritto, prima di sottrarre le schede bianche e nulle)</w:t>
      </w:r>
      <w:r>
        <w:t>. Se l'affluenza continuasse a scendere, la base del premio si restringerebbe ancora.</w:t>
      </w:r>
    </w:p>
    <w:p w14:paraId="0F8114A3" w14:textId="77777777" w:rsidR="00014EBB" w:rsidRPr="001B041D" w:rsidRDefault="00000000">
      <w:pPr>
        <w:spacing w:after="140" w:line="360" w:lineRule="auto"/>
        <w:jc w:val="both"/>
      </w:pPr>
      <w:r>
        <w:t>Il premio attribuisce così la maggioranza assoluta dei seggi a una coalizione sostenuta da una minoranza ristretta del corpo elettorale, e il suo effetto distorsivo cresce proprio quando la legittimazione del risultato è più debole. In un sistema proporzionale l'astensione si riflette in modo neutro su tutte le liste. Il premio, invece, la neutralizza: la maggioranza dei seggi resta assicurata alla coalizione vincente comunque siano andati la partecipazione e il consenso effettivo. La mancata partecipazione, che è anch'essa un segnale politico del corpo elettorale, viene resa irrilevante ai fini della composizione della Camera. Ne risulta alterato il rapporto tra il voto del ricorrente, a favore di qualunque lista sia espresso, e la composizione dell'Assemblea, che il premio rende insensibile al grado di consenso effettivamente raccolto dalla coalizione vincente.</w:t>
      </w:r>
    </w:p>
    <w:p w14:paraId="34F324A3" w14:textId="77777777" w:rsidR="00014EBB" w:rsidRPr="001B041D" w:rsidRDefault="00000000">
      <w:pPr>
        <w:spacing w:after="140" w:line="360" w:lineRule="auto"/>
        <w:jc w:val="both"/>
      </w:pPr>
      <w:r>
        <w:t>Il ricorrente non sostiene che la Costituzione imponga un quorum di partecipazione per le elezioni politiche, né fa valere la posizione di chi si astiene. Rileva che l'assenza di qualsiasi riferimento alla partecipazione, sommata agli altri fattori esposti, accresce la distanza tra l'entità del premio e il consenso effettivamente raccolto. Di questo fattore il legislatore avrebbe dovuto tenere conto nel bilanciamento tra governabilità e rappresentatività.</w:t>
      </w:r>
    </w:p>
    <w:p w14:paraId="79C93A05" w14:textId="3EA1E3AB" w:rsidR="00950910" w:rsidRPr="00C96F33" w:rsidRDefault="00950910" w:rsidP="00950910">
      <w:pPr>
        <w:spacing w:after="140" w:line="360" w:lineRule="auto"/>
        <w:jc w:val="both"/>
      </w:pPr>
      <w:r w:rsidRPr="00C96F33">
        <w:rPr>
          <w:b/>
          <w:bCs/>
        </w:rPr>
        <w:t>f) La riduzione del numero dei parlamentari.</w:t>
      </w:r>
      <w:r w:rsidRPr="00C96F33">
        <w:t xml:space="preserve"> Le sentenze n. 1 del 2014 e n. 35 del 2017 hanno scrutinato premi destinati ad Assemblee di seicentotrenta deputati e trecentoquindici senatori elettivi. La legge costituzionale 19 ottobre 2020, n. 1, ha ridotto i deputati a quattrocento, di cui trecentonovantadue eletti sul territorio nazionale, e i senatori elettivi a duecento, di cui centonovantasei eletti sul territorio nazionale (artt. 56, secondo e quarto comma, e 57, secondo comma, Cost.). Il premio introdotto dalla legge n. 180 del 2026 opera dunque su Assemblee che i precedenti non conoscevano, e la sua ragionevolezza va valutata tenendo conto di questo elemento.</w:t>
      </w:r>
    </w:p>
    <w:p w14:paraId="37C3D9BD" w14:textId="77777777" w:rsidR="00950910" w:rsidRPr="00C96F33" w:rsidRDefault="00950910" w:rsidP="00950910">
      <w:pPr>
        <w:spacing w:after="140" w:line="360" w:lineRule="auto"/>
        <w:jc w:val="both"/>
      </w:pPr>
      <w:r w:rsidRPr="00C96F33">
        <w:t>La riduzione ha già inciso, di per sé, sull'equilibrio tra rappresentatività e governabilità. Con meno seggi da distribuire, ciascun seggio richiede più voti, le soglie implicite di accesso alla rappresentanza si innalzano e le forze minori restano escluse più facilmente. L'effetto è più marcato al Senato, dove molte regioni eleggono pochi senatori: l'art. 57, terzo comma, Cost. fissa in tre il numero minimo di senatori per ciascuna regione o provincia autonoma, due per il Molise e uno per la Valle d'Aosta. Il riequilibrio a favore della governabilità che deriva da Assemblee meno numerose è quindi già in atto, prima e indipendentemente dal premio.</w:t>
      </w:r>
    </w:p>
    <w:p w14:paraId="0AD3B339" w14:textId="77777777" w:rsidR="00950910" w:rsidRPr="00C96F33" w:rsidRDefault="00950910" w:rsidP="00950910">
      <w:pPr>
        <w:spacing w:after="140" w:line="360" w:lineRule="auto"/>
        <w:jc w:val="both"/>
      </w:pPr>
      <w:r w:rsidRPr="00C96F33">
        <w:t>Il premio si somma a questo effetto e, in Assemblee ridotte, pesa di più. Settanta seggi sono il 17,9 per cento dei trecentonovantadue seggi della Camera assegnati sul territorio nazionale; nella Camera di seicentotrenta deputati lo stesso premio sarebbe stato pari all'11,3 per cento dei seicentodiciotto seggi allora assegnati sul territorio nazionale. Al Senato i trentacinque seggi del premio sono il 17,9 per cento dei centonovantasei seggi assegnati sul territorio nazionale. Quasi un quinto di ciascuna Camera è così sottratto al riparto proporzionale e attribuito in blocco alla coalizione vincente.</w:t>
      </w:r>
    </w:p>
    <w:p w14:paraId="768F4E2C" w14:textId="77777777" w:rsidR="00950910" w:rsidRPr="00C96F33" w:rsidRDefault="00950910" w:rsidP="00950910">
      <w:pPr>
        <w:spacing w:after="140" w:line="360" w:lineRule="auto"/>
        <w:jc w:val="both"/>
      </w:pPr>
      <w:r w:rsidRPr="00C96F33">
        <w:t>Quando il legislatore ordinario interviene sul sistema elettorale in senso ulteriormente favorevole alla governabilità, dopo che la riduzione del numero dei parlamentari ha già compresso la rappresentatività delle Assemblee, il controllo sulla proporzionalità del premio non può prescindere dall'effetto cumulativo dei due interventi.</w:t>
      </w:r>
    </w:p>
    <w:p w14:paraId="72B6DE39" w14:textId="77777777" w:rsidR="00950910" w:rsidRPr="00C96F33" w:rsidRDefault="00950910" w:rsidP="00950910">
      <w:pPr>
        <w:spacing w:after="140" w:line="360" w:lineRule="auto"/>
        <w:jc w:val="both"/>
      </w:pPr>
      <w:r w:rsidRPr="00C96F33">
        <w:rPr>
          <w:b/>
          <w:bCs/>
        </w:rPr>
        <w:t>g) Gli elettori delle circoscrizioni prive di seggi del premio.</w:t>
      </w:r>
      <w:r w:rsidRPr="00C96F33">
        <w:t xml:space="preserve"> Il premio è attribuito sulla base di un risultato nazionale, al quale concorrono i voti di tutti gli elettori, ma i suoi seggi sono assegnati soltanto in alcune circoscrizioni. Alla Camera i settanta seggi sono distribuiti tra le circoscrizioni con esclusione della Valle d'Aosta e del Trentino-Alto Adige (art. 3, comma 1, lettera b), del d.P.R. n. 361 del 1957, come sostituito dall'art. 1, comma 3, della legge n. 180 del 2026). Le liste circoscrizionali del premio sono presentate solo nelle circoscrizioni «cui spettino seggi da assegnare quale premio di governabilità» (art. 18-bis, comma 2-bis, del d.P.R. n. 361 del 1957, come sostituito dall'art. 1, comma 8, lettera e), della legge n. 180 del 2026): la legge stessa prevede dunque che vi siano circoscrizioni senza seggi del premio. Al Senato i trentacinque seggi sono distribuiti tra le regioni, anche qui con esclusione della Valle d'Aosta e del Trentino-Alto Adige (art. 1, comma 2-ter, lettera a), del d.lgs. n. 533 del 1993, come sostituito dall'art. 2, comma 1, lettera d), della legge n. 180 del 2026): trentacinque seggi per diciotto regioni, in media meno di due per regione.</w:t>
      </w:r>
    </w:p>
    <w:p w14:paraId="6C7834CE" w14:textId="77777777" w:rsidR="00950910" w:rsidRPr="00C96F33" w:rsidRDefault="00950910" w:rsidP="00950910">
      <w:pPr>
        <w:spacing w:after="140" w:line="360" w:lineRule="auto"/>
        <w:jc w:val="both"/>
      </w:pPr>
      <w:r w:rsidRPr="00C96F33">
        <w:t>I voti espressi in Valle d'Aosta e in Trentino-Alto Adige sono tuttavia computati proprio ai fini del premio: concorrono a individuare la lista o coalizione con la maggiore cifra elettorale nazionale e a verificare il raggiungimento della soglia del 42 per cento (art. 83, comma 1-sexies, del d.P.R. n. 361 del 1957, introdotto dall'art. 1, comma 22, lettera n), della legge n. 180 del 2026; art. 16-bis, comma 1-sexies, del d.lgs. n. 533 del 1993, introdotto dall'art. 2, comma 9, della stessa legge). Gli elettori di quelle regioni contribuiscono così a far scattare il premio, ma nessun seggio del premio è assegnato nel loro territorio e nessuna lista premiale compare sulla loro scheda.</w:t>
      </w:r>
    </w:p>
    <w:p w14:paraId="5A8EA5AA" w14:textId="77777777" w:rsidR="00950910" w:rsidRPr="00C96F33" w:rsidRDefault="00950910" w:rsidP="00950910">
      <w:pPr>
        <w:spacing w:after="140" w:line="360" w:lineRule="auto"/>
        <w:jc w:val="both"/>
      </w:pPr>
      <w:r w:rsidRPr="00C96F33">
        <w:t>La legge non indica neppure il criterio con cui i seggi del premio sono distribuiti tra le circoscrizioni e tra le regioni: si limita a rinviare ai dati del censimento della popolazione. Se la distribuzione avviene, come è presumibile, in proporzione alla popolazione, alle circoscrizioni e alle regioni meno popolose può non spettare alcun seggio del premio. I loro elettori si troverebbero allora nella stessa condizione: il loro voto concorre al risultato nazionale da cui dipende il premio, ma il premio è assegnato a candidati presentati altrove.</w:t>
      </w:r>
    </w:p>
    <w:p w14:paraId="2D765B14" w14:textId="77777777" w:rsidR="00950910" w:rsidRPr="00F26744" w:rsidRDefault="00950910" w:rsidP="00950910">
      <w:pPr>
        <w:spacing w:after="140" w:line="360" w:lineRule="auto"/>
        <w:jc w:val="both"/>
      </w:pPr>
      <w:r w:rsidRPr="00C96F33">
        <w:t>La distribuzione territoriale del premio produce anche l'effetto inverso. Nelle circoscrizioni cui spettano seggi del premio, i seggi distribuiti tra i collegi plurinominali sono quelli spettanti alla circoscrizione, detratti i seggi del premio (art. 3, comma 2, lettera a), del d.P.R. n. 361 del 1957; art. 1, comma 2-ter, lettera b), del d.lgs. n. 533 del 1993). In quelle circoscrizioni una parte dei rappresentanti è eletta con liste bloccate e le liste dei collegi eleggono un numero di rappresentanti corrispondentemente ridotto; nelle altre, tutti i seggi sono attribuiti con le liste dei collegi. Il peso del voto e la possibilità di concorrere con la preferenza alla scelta degli eletti variano così secondo la circoscrizione di residenza, per effetto di una distribuzione che la legge rimette interamente al decreto del Presidente della Repubblica emanato con la convocazione dei comizi.</w:t>
      </w:r>
    </w:p>
    <w:p w14:paraId="3090CC75" w14:textId="77777777" w:rsidR="00950910" w:rsidRPr="00F26744" w:rsidRDefault="00950910" w:rsidP="00950910">
      <w:pPr>
        <w:spacing w:after="140" w:line="360" w:lineRule="auto"/>
        <w:jc w:val="both"/>
      </w:pPr>
      <w:r w:rsidRPr="00C96F33">
        <w:t>Il ricorrente, che vota in Campania, non fa valere sotto questo profilo una lesione propria. Rileva che un meccanismo nel quale il contributo al premio è nazionale e la sua attribuzione è territorialmente selettiva tratta in modo diverso elettori che si trovano nella stessa posizione, e conferma l'irragionevolezza della disciplina del premio considerata nel suo complesso (artt. 3 e 48, secondo comma, Cost.).</w:t>
      </w:r>
    </w:p>
    <w:p w14:paraId="013D1B7C" w14:textId="77777777" w:rsidR="0053519B" w:rsidRPr="00AD6BD3" w:rsidRDefault="0053519B" w:rsidP="0053519B">
      <w:pPr>
        <w:spacing w:after="140" w:line="360" w:lineRule="auto"/>
        <w:jc w:val="both"/>
      </w:pPr>
      <w:r w:rsidRPr="00AD6BD3">
        <w:rPr>
          <w:b/>
          <w:bCs/>
        </w:rPr>
        <w:t>h) Sostanziale svalutazione della funzione garantistica del quorum costituzionale della maggioranza assoluta.</w:t>
      </w:r>
      <w:r w:rsidRPr="00AD6BD3">
        <w:t xml:space="preserve"> L’attribuzione di un premio di maggioranza fisso che implica l’automatico conseguimento di seggi in misura di gran lunga superiore alla maggioranza assoluta comporta un sostanziale aggiramento della funzione di garanzia costituzionale – sia in termini di tutela delle minoranze sia di garanzia obiettiva dell’ordine costituzionale dei poteri – assolta dal quorum della maggioranza assoluta secondo non poche previsioni costituzionali:</w:t>
      </w:r>
    </w:p>
    <w:p w14:paraId="205427DC" w14:textId="77777777" w:rsidR="0053519B" w:rsidRPr="00AD6BD3" w:rsidRDefault="0053519B" w:rsidP="0053519B">
      <w:pPr>
        <w:spacing w:after="140" w:line="360" w:lineRule="auto"/>
        <w:jc w:val="both"/>
        <w:rPr>
          <w:i/>
          <w:iCs/>
        </w:rPr>
      </w:pPr>
      <w:r w:rsidRPr="00AD6BD3">
        <w:rPr>
          <w:i/>
          <w:iCs/>
        </w:rPr>
        <w:t>– art. 64 Cost., per l’adozione dei regolamenti parlamentari;</w:t>
      </w:r>
    </w:p>
    <w:p w14:paraId="5789E529" w14:textId="77777777" w:rsidR="0053519B" w:rsidRPr="00AD6BD3" w:rsidRDefault="0053519B" w:rsidP="0053519B">
      <w:pPr>
        <w:spacing w:after="140" w:line="360" w:lineRule="auto"/>
        <w:jc w:val="both"/>
        <w:rPr>
          <w:i/>
          <w:iCs/>
        </w:rPr>
      </w:pPr>
      <w:r w:rsidRPr="00AD6BD3">
        <w:rPr>
          <w:i/>
          <w:iCs/>
        </w:rPr>
        <w:t>– art. 73, comma 2, Cost., per la dichiarazione di urgenza ai fini della promulgazione della legge;</w:t>
      </w:r>
    </w:p>
    <w:p w14:paraId="60292AC0" w14:textId="77777777" w:rsidR="0053519B" w:rsidRPr="00AD6BD3" w:rsidRDefault="0053519B" w:rsidP="0053519B">
      <w:pPr>
        <w:spacing w:after="140" w:line="360" w:lineRule="auto"/>
        <w:jc w:val="both"/>
        <w:rPr>
          <w:i/>
          <w:iCs/>
        </w:rPr>
      </w:pPr>
      <w:r w:rsidRPr="00AD6BD3">
        <w:rPr>
          <w:i/>
          <w:iCs/>
        </w:rPr>
        <w:t>– art. 81, comma 2, Cost., per l’autorizzazione del ricorso all’indebitamento al verificarsi di eventi eccezionali;</w:t>
      </w:r>
    </w:p>
    <w:p w14:paraId="2659E99C" w14:textId="77777777" w:rsidR="0053519B" w:rsidRPr="00AD6BD3" w:rsidRDefault="0053519B" w:rsidP="0053519B">
      <w:pPr>
        <w:spacing w:after="140" w:line="360" w:lineRule="auto"/>
        <w:jc w:val="both"/>
        <w:rPr>
          <w:i/>
          <w:iCs/>
        </w:rPr>
      </w:pPr>
      <w:r w:rsidRPr="00AD6BD3">
        <w:rPr>
          <w:i/>
          <w:iCs/>
        </w:rPr>
        <w:t>– art. 81, comma 6, Cost., per l’approvazione della legge rinforzata chiamata a definire il contenuto della legge di bilancio, le norme fondamentali e i criteri volti ad assicurare l’equilibrio tra le entrate e le spese dei bilanci e la sostenibilità del debito del complesso delle pubbliche amministrazioni;</w:t>
      </w:r>
    </w:p>
    <w:p w14:paraId="6263C1B0" w14:textId="77777777" w:rsidR="0053519B" w:rsidRPr="00AD6BD3" w:rsidRDefault="0053519B" w:rsidP="0053519B">
      <w:pPr>
        <w:spacing w:after="140" w:line="360" w:lineRule="auto"/>
        <w:jc w:val="both"/>
        <w:rPr>
          <w:i/>
          <w:iCs/>
        </w:rPr>
      </w:pPr>
      <w:r w:rsidRPr="00AD6BD3">
        <w:rPr>
          <w:i/>
          <w:iCs/>
        </w:rPr>
        <w:t>– art. 83, comma 3, Cost., per l’elezione del Presidente della Repubblica dopo il terzo scrutinio;</w:t>
      </w:r>
    </w:p>
    <w:p w14:paraId="280A69BC" w14:textId="77777777" w:rsidR="0053519B" w:rsidRPr="00AD6BD3" w:rsidRDefault="0053519B" w:rsidP="0053519B">
      <w:pPr>
        <w:spacing w:after="140" w:line="360" w:lineRule="auto"/>
        <w:jc w:val="both"/>
        <w:rPr>
          <w:i/>
          <w:iCs/>
        </w:rPr>
      </w:pPr>
      <w:r w:rsidRPr="00AD6BD3">
        <w:rPr>
          <w:i/>
          <w:iCs/>
        </w:rPr>
        <w:t>– art. 90, comma 2, Cost., per la messa in stato di accusa del Presidente della Repubblica;</w:t>
      </w:r>
    </w:p>
    <w:p w14:paraId="3287213F" w14:textId="77777777" w:rsidR="0053519B" w:rsidRPr="00AD6BD3" w:rsidRDefault="0053519B" w:rsidP="0053519B">
      <w:pPr>
        <w:spacing w:after="140" w:line="360" w:lineRule="auto"/>
        <w:jc w:val="both"/>
        <w:rPr>
          <w:i/>
          <w:iCs/>
        </w:rPr>
      </w:pPr>
      <w:r w:rsidRPr="00AD6BD3">
        <w:rPr>
          <w:i/>
          <w:iCs/>
        </w:rPr>
        <w:t>– art. 116, comma 3, Cost., per l’approvazione della legge attributiva di ulteriori forme e condizioni particolari di autonomia, concernenti le materie di cui al terzo comma dell’articolo 117 e le materie indicate dal secondo comma del medesimo articolo alle lettere l), limitatamente all’organizzazione della giustizia di pace, n) e s), su iniziativa della Regione interessata, sentiti gli enti locali, nel rispetto dei princìpi di cui all’articolo 119;</w:t>
      </w:r>
    </w:p>
    <w:p w14:paraId="05134076" w14:textId="77777777" w:rsidR="0053519B" w:rsidRPr="00AD6BD3" w:rsidRDefault="0053519B" w:rsidP="0053519B">
      <w:pPr>
        <w:spacing w:after="140" w:line="360" w:lineRule="auto"/>
        <w:jc w:val="both"/>
        <w:rPr>
          <w:i/>
          <w:iCs/>
        </w:rPr>
      </w:pPr>
      <w:r w:rsidRPr="00AD6BD3">
        <w:rPr>
          <w:i/>
          <w:iCs/>
        </w:rPr>
        <w:t>– art. 138, comma 1, Cost., per l’approvazione delle leggi costituzionali e di revisione costituzionale in seconda deliberazione (nel caso in cui non vi sia stata approvazione a maggioranza qualificata dei due terzi dei componenti di ciascuna Camera).</w:t>
      </w:r>
    </w:p>
    <w:p w14:paraId="4E9CA8C9" w14:textId="77777777" w:rsidR="0053519B" w:rsidRDefault="0053519B" w:rsidP="0053519B">
      <w:pPr>
        <w:spacing w:after="140" w:line="360" w:lineRule="auto"/>
        <w:jc w:val="both"/>
      </w:pPr>
      <w:r w:rsidRPr="00AD6BD3">
        <w:t>In conclusione, un premio fisso in misura tale da attribuire ad un unico complesso politico un numero di seggi tale da assicurargli in ogni caso i quorum volta a volta richiesti dalla Carta costituzionale sarebbe perciò da considerarsi incostituzionale.</w:t>
      </w:r>
    </w:p>
    <w:p w14:paraId="3E007534" w14:textId="77777777" w:rsidR="00950910" w:rsidRPr="00F26744" w:rsidRDefault="00950910" w:rsidP="00950910">
      <w:pPr>
        <w:spacing w:after="140" w:line="360" w:lineRule="auto"/>
        <w:jc w:val="both"/>
      </w:pPr>
      <w:r w:rsidRPr="00F26744">
        <w:rPr>
          <w:b/>
          <w:bCs/>
        </w:rPr>
        <w:t>i) La valutazione complessiva.</w:t>
      </w:r>
      <w:r w:rsidRPr="00F26744">
        <w:t xml:space="preserve"> Il ricorrente è consapevole che la sentenza n. 35 del 2017 ha ritenuto non irragionevoli, singolarmente considerati, il calcolo della soglia sui voti validi anziché sugli aventi diritto e l’attribuzione del premio alla lista più votata anche quando due liste superino entrambe la soglia. Quelle valutazioni hanno però riguardato una disciplina diversa, e la stessa sentenza ha fatto salvo il controllo di proporzionalità sugli effetti distorsivi del premio sulla rappresentatività (massima n. 39599). È appunto questo controllo che il ricorrente sollecita, con riferimento al funzionamento complessivo del meccanismo introdotto dalla legge n. 180 del 2026.</w:t>
      </w:r>
    </w:p>
    <w:p w14:paraId="329D176B" w14:textId="77777777" w:rsidR="00950910" w:rsidRPr="00F26744" w:rsidRDefault="00950910" w:rsidP="00950910">
      <w:pPr>
        <w:spacing w:after="140" w:line="360" w:lineRule="auto"/>
        <w:jc w:val="both"/>
      </w:pPr>
      <w:r w:rsidRPr="00F26744">
        <w:t>Rispetto alla disciplina scrutinata nel 2017, la nuova legge presenta elementi che quella non conosceva:</w:t>
      </w:r>
    </w:p>
    <w:p w14:paraId="6F84EE51" w14:textId="77777777" w:rsidR="00950910" w:rsidRPr="00F26744" w:rsidRDefault="00950910" w:rsidP="00950910">
      <w:pPr>
        <w:spacing w:after="140" w:line="360" w:lineRule="auto"/>
        <w:jc w:val="both"/>
        <w:rPr>
          <w:i/>
          <w:iCs/>
        </w:rPr>
      </w:pPr>
      <w:r w:rsidRPr="00F26744">
        <w:rPr>
          <w:i/>
          <w:iCs/>
        </w:rPr>
        <w:t>– il premio è attribuito a coalizioni e non a singole liste, e alla cifra di coalizione concorrono anche i voti di liste rimaste sotto soglia e prive di seggi (lettera a);</w:t>
      </w:r>
    </w:p>
    <w:p w14:paraId="59B77E47" w14:textId="77777777" w:rsidR="00950910" w:rsidRPr="00F26744" w:rsidRDefault="00950910" w:rsidP="00950910">
      <w:pPr>
        <w:spacing w:after="140" w:line="360" w:lineRule="auto"/>
        <w:jc w:val="both"/>
        <w:rPr>
          <w:i/>
          <w:iCs/>
        </w:rPr>
      </w:pPr>
      <w:r w:rsidRPr="00F26744">
        <w:rPr>
          <w:i/>
          <w:iCs/>
        </w:rPr>
        <w:t>– all’interno delle sole coalizioni la prima lista sotto soglia è recuperata al riparto, sicché il peso del voto dipende dalla collocazione della lista votata (lettera d);</w:t>
      </w:r>
    </w:p>
    <w:p w14:paraId="6F745683" w14:textId="77777777" w:rsidR="00950910" w:rsidRPr="00F26744" w:rsidRDefault="00950910" w:rsidP="00950910">
      <w:pPr>
        <w:spacing w:after="140" w:line="360" w:lineRule="auto"/>
        <w:jc w:val="both"/>
        <w:rPr>
          <w:i/>
          <w:iCs/>
        </w:rPr>
      </w:pPr>
      <w:r w:rsidRPr="00F26744">
        <w:rPr>
          <w:i/>
          <w:iCs/>
        </w:rPr>
        <w:t>– il premio ha misura fissa, settanta seggi alla Camera e trentacinque al Senato, ed è identico qualunque sia il distacco dalla seconda coalizione (lettera c);</w:t>
      </w:r>
    </w:p>
    <w:p w14:paraId="5D27CEEF" w14:textId="77777777" w:rsidR="00950910" w:rsidRPr="00F26744" w:rsidRDefault="00950910" w:rsidP="00950910">
      <w:pPr>
        <w:spacing w:after="140" w:line="360" w:lineRule="auto"/>
        <w:jc w:val="both"/>
        <w:rPr>
          <w:i/>
          <w:iCs/>
        </w:rPr>
      </w:pPr>
      <w:r w:rsidRPr="00F26744">
        <w:rPr>
          <w:i/>
          <w:iCs/>
        </w:rPr>
        <w:t>– i seggi del premio sono attribuiti a liste circoscrizionali bloccate, che si sommano ai capilista sottratti al voto di preferenza (§ VIII);</w:t>
      </w:r>
    </w:p>
    <w:p w14:paraId="4F98414E" w14:textId="77777777" w:rsidR="00950910" w:rsidRPr="00C96F33" w:rsidRDefault="00950910" w:rsidP="00950910">
      <w:pPr>
        <w:spacing w:after="140" w:line="360" w:lineRule="auto"/>
        <w:jc w:val="both"/>
        <w:rPr>
          <w:i/>
          <w:iCs/>
        </w:rPr>
      </w:pPr>
      <w:r w:rsidRPr="00C96F33">
        <w:rPr>
          <w:i/>
          <w:iCs/>
        </w:rPr>
        <w:t>– il premio opera su Assemblee ridotte dalla legge costituzionale n. 1 del 2020, nelle quali settanta e trentacinque seggi equivalgono a quasi un quinto dei seggi assegnati sul territorio nazionale (lettera f);</w:t>
      </w:r>
    </w:p>
    <w:p w14:paraId="1F0E3A95" w14:textId="77777777" w:rsidR="00950910" w:rsidRPr="00542DBB" w:rsidRDefault="00950910" w:rsidP="00950910">
      <w:pPr>
        <w:spacing w:after="140" w:line="360" w:lineRule="auto"/>
        <w:jc w:val="both"/>
        <w:rPr>
          <w:i/>
          <w:iCs/>
        </w:rPr>
      </w:pPr>
      <w:r w:rsidRPr="00C96F33">
        <w:rPr>
          <w:i/>
          <w:iCs/>
        </w:rPr>
        <w:t>– i seggi del premio sono assegnati solo in alcune circoscrizioni, mentre al risultato da cui il premio dipende concorrono i voti di tutti gli elettori (lettera g);</w:t>
      </w:r>
    </w:p>
    <w:p w14:paraId="6DF3D09A" w14:textId="63A7E438" w:rsidR="00950910" w:rsidRPr="00F26744" w:rsidRDefault="00950910" w:rsidP="00950910">
      <w:pPr>
        <w:spacing w:after="140" w:line="360" w:lineRule="auto"/>
        <w:jc w:val="both"/>
        <w:rPr>
          <w:i/>
          <w:iCs/>
        </w:rPr>
      </w:pPr>
      <w:r w:rsidRPr="00F26744">
        <w:rPr>
          <w:i/>
          <w:iCs/>
        </w:rPr>
        <w:t>– al Senato il premio è calcolato e assegnato su base nazionale (§ IX).</w:t>
      </w:r>
    </w:p>
    <w:p w14:paraId="1C28C07E" w14:textId="3D9688B9" w:rsidR="00950910" w:rsidRPr="001B041D" w:rsidRDefault="00950910" w:rsidP="00950910">
      <w:pPr>
        <w:spacing w:after="140" w:line="360" w:lineRule="auto"/>
        <w:jc w:val="both"/>
      </w:pPr>
      <w:r w:rsidRPr="00F26744">
        <w:t>Ciascuno di questi elementi accentua l’effetto degli altri. Una soglia raggiungibile con voti privi di rappresentanza, calcolata senza alcun riferimento alla partecipazione al voto e premiata in misura fissa anche a fronte di uno scarto minimo, consente di attribuire la maggioranza assoluta dei seggi a una coalizione il cui consenso effettivo, misurato sulle liste rappresentate e sul corpo elettorale, può essere sensibilmente inferiore a quello che la soglia nominale lascia intendere.</w:t>
      </w:r>
    </w:p>
    <w:p w14:paraId="0F452F41" w14:textId="77777777" w:rsidR="00014EBB" w:rsidRPr="001B041D" w:rsidRDefault="00000000">
      <w:pPr>
        <w:keepNext/>
        <w:spacing w:before="200" w:after="120"/>
      </w:pPr>
      <w:r>
        <w:rPr>
          <w:b/>
          <w:bCs/>
          <w:i/>
          <w:iCs/>
        </w:rPr>
        <w:t>Pronuncia richiesta e normativa di risulta</w:t>
      </w:r>
    </w:p>
    <w:p w14:paraId="6C329698" w14:textId="77777777" w:rsidR="00014EBB" w:rsidRPr="001B041D" w:rsidRDefault="00000000">
      <w:pPr>
        <w:spacing w:after="140" w:line="360" w:lineRule="auto"/>
        <w:jc w:val="both"/>
      </w:pPr>
      <w:r>
        <w:t>Si chiede una pronuncia ablativa delle disposizioni che prevedono e attribuiscono il premio e, per la lettera e-septies) dell'art. 83, comma 1, delle sole parole che subordinano il riparto senza premio all'esito negativo delle verifiche. La normativa di risulta è immediatamente applicabile e non richiede alcun intervento additivo. Eliminate quelle parole, la lettera e-septies) dispone che l'Ufficio centrale nazionale «procede ai sensi del comma 1-bis», e il comma 1-bis, che si applica «Nei casi di cui alla lettera e-septies) del comma 1», disciplina la distribuzione di tutti i seggi senza premio. Le verifiche della soglia (lettere e-quater) ed e-quinquies)) restano formalmente in vigore ma non producono più alcun effetto, e non occorre caducarle. Le liste circoscrizionali del premio perderebbero ogni funzione e la loro disciplina andrebbe caducata in via consequenziale (art. 27 della legge n. 87 del 1953).</w:t>
      </w:r>
    </w:p>
    <w:p w14:paraId="6BC83815" w14:textId="77777777" w:rsidR="00014EBB" w:rsidRPr="001B041D" w:rsidRDefault="00000000">
      <w:pPr>
        <w:keepNext/>
        <w:spacing w:before="300" w:after="160"/>
        <w:jc w:val="center"/>
      </w:pPr>
      <w:r>
        <w:rPr>
          <w:b/>
          <w:bCs/>
        </w:rPr>
        <w:t>VIII. SECONDA QUESTIONE: L'ESCLUSIONE DEL CAPOLISTA DAL VOTO DI PREFERENZA</w:t>
      </w:r>
    </w:p>
    <w:p w14:paraId="7B1C68FF" w14:textId="77777777" w:rsidR="00014EBB" w:rsidRPr="001B041D" w:rsidRDefault="00000000">
      <w:pPr>
        <w:keepNext/>
        <w:spacing w:before="200" w:after="120"/>
      </w:pPr>
      <w:r>
        <w:rPr>
          <w:b/>
          <w:bCs/>
          <w:i/>
          <w:iCs/>
        </w:rPr>
        <w:t>Disposizioni censurate</w:t>
      </w:r>
    </w:p>
    <w:p w14:paraId="0BF50A15" w14:textId="77777777" w:rsidR="00014EBB" w:rsidRPr="001B041D" w:rsidRDefault="00000000">
      <w:pPr>
        <w:spacing w:after="140" w:line="360" w:lineRule="auto"/>
        <w:jc w:val="both"/>
      </w:pPr>
      <w:r>
        <w:t>Per la Camera dei deputati:</w:t>
      </w:r>
    </w:p>
    <w:p w14:paraId="52907C74" w14:textId="77777777" w:rsidR="00014EBB" w:rsidRPr="001B041D" w:rsidRDefault="00000000">
      <w:pPr>
        <w:spacing w:after="140" w:line="360" w:lineRule="auto"/>
        <w:ind w:left="567"/>
        <w:jc w:val="both"/>
      </w:pPr>
      <w:r>
        <w:t>– art. 1, comma 1, del d.P.R. n. 361 del 1957, come modificato dall'art. 1, comma 1, lettera a), della legge n. 180 del 2026, nella parte in cui prevede le parole «ad eccezione del capolista»;</w:t>
      </w:r>
    </w:p>
    <w:p w14:paraId="0C034A28" w14:textId="77777777" w:rsidR="00014EBB" w:rsidRPr="001B041D" w:rsidRDefault="00000000">
      <w:pPr>
        <w:spacing w:after="140" w:line="360" w:lineRule="auto"/>
        <w:ind w:left="567"/>
        <w:jc w:val="both"/>
      </w:pPr>
      <w:r>
        <w:t>– art. 4, comma 2, del d.P.R. n. 361 del 1957, come sostituito dall'art. 1, comma 4, della legge n. 180 del 2026, nella parte in cui esclude il capolista dalle preferenze;</w:t>
      </w:r>
    </w:p>
    <w:p w14:paraId="7540961A" w14:textId="77777777" w:rsidR="00014EBB" w:rsidRPr="001B041D" w:rsidRDefault="00000000">
      <w:pPr>
        <w:spacing w:after="140" w:line="360" w:lineRule="auto"/>
        <w:ind w:left="567"/>
        <w:jc w:val="both"/>
      </w:pPr>
      <w:r>
        <w:t>– art. 31, comma 2, del d.P.R. n. 361 del 1957, come sostituito dall'art. 1, comma 16, lettera a), della legge n. 180 del 2026, nella parte in cui prevede le parole «Ad eccezione del capolista,»;</w:t>
      </w:r>
    </w:p>
    <w:p w14:paraId="49CB5EC7" w14:textId="5A7F642E" w:rsidR="00014EBB" w:rsidRPr="001B041D" w:rsidRDefault="00000000">
      <w:pPr>
        <w:spacing w:after="140" w:line="360" w:lineRule="auto"/>
        <w:ind w:left="567"/>
        <w:jc w:val="both"/>
      </w:pPr>
      <w:r>
        <w:t xml:space="preserve">– le disposizioni che, in coerenza con l'esclusione del capolista dal voto di preferenza, lo escludono dallo scrutinio e dalla graduatoria e ne assicurano l'elezione prioritaria: art. 31, comma 5, del d.P.R. n. 361 del 1957, come modificato dall'art. 1, comma 16, lettera f), numero 3), della legge n. 180 del 2026, limitatamente alle parole «, ad eccezione del capolista,»; art. 58, comma 2, come modificato dall'art. 1, comma 17, lettera a), numero 1), limitatamente alle parole «, escluso il capolista»; art. 77, comma 1, lettera d), come sostituita dall'art. 1, comma 21, lettera d), limitatamente alle parole «, escluso il capolista,»; art. 84, comma 1, come modificato dall'art. 1, comma 24, lettera a), e art. 86, comma 1, come modificato dall'art. 1, comma 26, lettera b), limitatamente alle parole «a partire dal candidato capolista e successivamente»; art. 93-sexies, comma 1, limitatamente alle parole «Ad eccezione del capolista,», e comma 3, limitatamente alle parole «, escluso il capolista»; art. 93-septies, comma 1, lettera e), limitatamente alle parole «, escluso il capolista,», e comma 2, lettera c), limitatamente alle parole «a partire dal candidato capolista e successivamente», tutti come introdotti dall'art. 1, comma 27, lettera c).  </w:t>
      </w:r>
    </w:p>
    <w:p w14:paraId="19FFD189" w14:textId="146DBFE3" w:rsidR="00014EBB" w:rsidRPr="001B041D" w:rsidRDefault="00000000">
      <w:pPr>
        <w:spacing w:after="140" w:line="360" w:lineRule="auto"/>
        <w:jc w:val="both"/>
      </w:pPr>
      <w:r>
        <w:t xml:space="preserve">Per il Senato della Repubblica: art. 2, comma 1, del d.lgs. n. 533 del 1993, come modificato dall'art. 2, comma 2, della legge n. 180 del 2026, limitatamente alle parole «, ad eccezione del capolista,»; art. 14, comma 1, del medesimo decreto, come sostituito dall'art. 2, comma 7, lettera a), limitatamente alle parole «che non sono capolista»; art. 16, comma 1, lettera d), come sostituito dall'art. 2, comma 8, lettera d), limitatamente alle parole «, escluso il capolista,»; art. 17-bis, comma 1, del medesimo decreto, come modificato dall'art. 2, comma 11, lettera a), limitatamente alle parole «a partire dal candidato capolista e successivamente». </w:t>
      </w:r>
    </w:p>
    <w:p w14:paraId="06163510" w14:textId="77777777" w:rsidR="00014EBB" w:rsidRPr="001B041D" w:rsidRDefault="00000000">
      <w:pPr>
        <w:keepNext/>
        <w:spacing w:before="200" w:after="120"/>
      </w:pPr>
      <w:r>
        <w:rPr>
          <w:b/>
          <w:bCs/>
          <w:i/>
          <w:iCs/>
        </w:rPr>
        <w:t>Parametri</w:t>
      </w:r>
    </w:p>
    <w:p w14:paraId="1CFE5472" w14:textId="77777777" w:rsidR="00014EBB" w:rsidRPr="001B041D" w:rsidRDefault="00000000">
      <w:pPr>
        <w:spacing w:after="140" w:line="360" w:lineRule="auto"/>
        <w:jc w:val="both"/>
      </w:pPr>
      <w:r>
        <w:t>Artt. 1, secondo comma, 3, 48, secondo comma, 56 e 58 Cost.</w:t>
      </w:r>
    </w:p>
    <w:p w14:paraId="63FA64A4" w14:textId="77777777" w:rsidR="00014EBB" w:rsidRPr="001B041D" w:rsidRDefault="00000000">
      <w:pPr>
        <w:keepNext/>
        <w:spacing w:before="200" w:after="120"/>
      </w:pPr>
      <w:r>
        <w:rPr>
          <w:b/>
          <w:bCs/>
          <w:i/>
          <w:iCs/>
        </w:rPr>
        <w:t>Ragioni della censura</w:t>
      </w:r>
    </w:p>
    <w:p w14:paraId="17F3CF82" w14:textId="4CC9D049" w:rsidR="00014EBB" w:rsidRPr="001B041D" w:rsidRDefault="00000000">
      <w:pPr>
        <w:spacing w:after="140" w:line="360" w:lineRule="auto"/>
        <w:jc w:val="both"/>
      </w:pPr>
      <w:r>
        <w:t>La sentenza n. 1 del 2014</w:t>
      </w:r>
      <w:r w:rsidR="00C96F33">
        <w:t xml:space="preserve"> della Corte costituzionale</w:t>
      </w:r>
      <w:r>
        <w:t xml:space="preserve"> ha ritenuto lesivo della libertà del voto un sistema in cui «alla totalità dei parlamentari eletti, senza alcuna eccezione, manca il sostegno della indicazione personale» dei cittadini (massime nn. 37585 e 37586).</w:t>
      </w:r>
    </w:p>
    <w:p w14:paraId="7F6C5F3A" w14:textId="77777777" w:rsidR="00014EBB" w:rsidRPr="001B041D" w:rsidRDefault="00000000">
      <w:pPr>
        <w:spacing w:after="140" w:line="360" w:lineRule="auto"/>
        <w:jc w:val="both"/>
      </w:pPr>
      <w:r>
        <w:t>Il ricorrente è consapevole che la sentenza n. 35 del 2017 ha ritenuto non illegittimo un sistema con un solo capolista bloccato in liste corte, con preferenze per gli altri candidati. Ha ritenuto inoltre che la circostanza che alcune liste eleggano soltanto capilista non sia di per sé incostituzionale (massima n. 40254). La presente questione si distingue da quel precedente per tre ragioni.</w:t>
      </w:r>
    </w:p>
    <w:p w14:paraId="7B8E2C54" w14:textId="77777777" w:rsidR="00014EBB" w:rsidRPr="00BB287C" w:rsidRDefault="00000000">
      <w:pPr>
        <w:spacing w:after="140" w:line="360" w:lineRule="auto"/>
        <w:jc w:val="both"/>
      </w:pPr>
      <w:r>
        <w:rPr>
          <w:b/>
          <w:bCs/>
        </w:rPr>
        <w:t>a) L'effetto deriva dalla struttura della legge, non da uno scenario.</w:t>
      </w:r>
      <w:r>
        <w:t xml:space="preserve"> In ogni collegio plurinominale il primo seggio conseguito da una lista spetta necessariamente al capolista. Il voto di preferenza decide solo dal secondo seggio in poi (artt. 77, comma 1, lettera d), e 84, comma 1, del d.P.R. n. 361 del 1957). I collegi plurinominali eleggono pochi deputati ciascuno: da 2 a 12 nello scenario con premio della simulazione prodotta (doc. 4). Per conquistare un secondo seggio nello stesso collegio una lista deve quindi raccogliere una quota di voti che solo le liste maggiori raggiungono, intorno al 10-12 per cento. Ne segue, come proprietà del sistema e non come previsione, che la gran parte degli eletti di gran parte delle liste è costituita da capilista. Non si tratta solo delle liste di minoranza considerate dalla sentenza n. 35 del 2017.</w:t>
      </w:r>
    </w:p>
    <w:p w14:paraId="184780E3" w14:textId="77777777" w:rsidR="00014EBB" w:rsidRPr="00BB287C" w:rsidRDefault="00000000">
      <w:pPr>
        <w:spacing w:after="140" w:line="360" w:lineRule="auto"/>
        <w:jc w:val="both"/>
      </w:pPr>
      <w:r>
        <w:rPr>
          <w:b/>
          <w:bCs/>
        </w:rPr>
        <w:t>b) Il risultato è costante in tutti gli scenari esaminati.</w:t>
      </w:r>
      <w:r>
        <w:t xml:space="preserve"> La simulazione prodotta (doc. 4) lo conferma in ciascuna delle ipotesi considerate:</w:t>
      </w:r>
    </w:p>
    <w:p w14:paraId="26259B25" w14:textId="77777777" w:rsidR="00014EBB" w:rsidRPr="00BB287C" w:rsidRDefault="00000000">
      <w:pPr>
        <w:spacing w:after="140" w:line="360" w:lineRule="auto"/>
        <w:ind w:left="567"/>
        <w:jc w:val="both"/>
      </w:pPr>
      <w:r>
        <w:t>– con il premio (scenario 1), il 76,4 per cento dei seggi assegnati nei collegi va ai capilista. Sei liste su dieci eleggono soltanto capilista, comprese liste con 26, 22 e 18 deputati. Sommando i settanta deputati delle liste del premio, che non passano dal voto di preferenza, gli eletti senza preferenza sono circa l'81 per cento;</w:t>
      </w:r>
    </w:p>
    <w:p w14:paraId="0BBDB27C" w14:textId="77777777" w:rsidR="00014EBB" w:rsidRPr="00BB287C" w:rsidRDefault="00000000">
      <w:pPr>
        <w:spacing w:after="140" w:line="360" w:lineRule="auto"/>
        <w:ind w:left="567"/>
        <w:jc w:val="both"/>
      </w:pPr>
      <w:r>
        <w:t>– senza premio (scenario 2), gli eletti senza preferenza sono il 68,5 per cento;</w:t>
      </w:r>
    </w:p>
    <w:p w14:paraId="077502F0" w14:textId="77777777" w:rsidR="00014EBB" w:rsidRPr="00BB287C" w:rsidRDefault="00000000">
      <w:pPr>
        <w:spacing w:after="140" w:line="360" w:lineRule="auto"/>
        <w:ind w:left="567"/>
        <w:jc w:val="both"/>
      </w:pPr>
      <w:r>
        <w:t>– tenendo conto delle candidature multiple dei capilista, gli eletti con preferenza salgono al 28,7 per cento se i pluricandidati coprono il 10 per cento dei collegi e al 35 per cento se ne coprono il 20 per cento. La stessa fonte indica come realistico un valore tra il 25 e il 35 per cento. Solo con un uso massiccio delle pluricandidature, che la fonte giudica politicamente improbabile, la proporzione si invertirebbe. Ma anche quell'esito dipenderebbe interamente da una scelta dei vertici di partito.</w:t>
      </w:r>
    </w:p>
    <w:p w14:paraId="2EFE5408" w14:textId="77777777" w:rsidR="00014EBB" w:rsidRPr="001B041D" w:rsidRDefault="00000000">
      <w:pPr>
        <w:spacing w:after="140" w:line="360" w:lineRule="auto"/>
        <w:jc w:val="both"/>
      </w:pPr>
      <w:r>
        <w:t>In ogni scenario, quindi, la quota di eletti sottratti alla scelta dell'elettore supera quella prodotta dalla legge previgente, che la fonte indica nel 63 per cento, pari ai deputati eletti nella parte proporzionale con liste bloccate (doc. 4). È così smentito proprio l'obiettivo dichiarato dalla riforma: restituire agli elettori la scelta dei rappresentanti.</w:t>
      </w:r>
    </w:p>
    <w:p w14:paraId="0A284D60" w14:textId="77777777" w:rsidR="00014EBB" w:rsidRPr="001B041D" w:rsidRDefault="00000000">
      <w:pPr>
        <w:spacing w:after="140" w:line="360" w:lineRule="auto"/>
        <w:jc w:val="both"/>
      </w:pPr>
      <w:r>
        <w:rPr>
          <w:b/>
          <w:bCs/>
        </w:rPr>
        <w:t>c) La disuguaglianza dell'efficacia della preferenza.</w:t>
      </w:r>
      <w:r>
        <w:t xml:space="preserve"> La preferenza è effettiva solo per gli elettori delle liste maggiori e dei collegi più ampi. Nei collegi plurinominali, che eleggono da 2 a 12 deputati, solo le liste che superano il 10-12 per cento dei voti possono conquistare un secondo seggio, e quindi eleggere un candidato con le preferenze. L'elettore di una lista medio-piccola e l'elettore di un collegio di piccole dimensioni dispongono di una preferenza priva, di regola, di qualsiasi efficacia (doc. 4). Ne risulta una disparità tra elettori nella possibilità di concorrere alla scelta personale dei rappresentanti.</w:t>
      </w:r>
    </w:p>
    <w:p w14:paraId="472D053C" w14:textId="77777777" w:rsidR="00014EBB" w:rsidRPr="00C96F33" w:rsidRDefault="00000000">
      <w:pPr>
        <w:spacing w:after="140" w:line="360" w:lineRule="auto"/>
        <w:jc w:val="both"/>
      </w:pPr>
      <w:r w:rsidRPr="00C96F33">
        <w:rPr>
          <w:b/>
          <w:bCs/>
        </w:rPr>
        <w:t>d) L'efficacia della preferenza dipende dall'ampiezza dei collegi, che la legge non garantisce.</w:t>
      </w:r>
      <w:r w:rsidRPr="00C96F33">
        <w:t xml:space="preserve"> Poiché in ogni collegio il primo seggio conseguito da una lista spetta al capolista, l'efficacia della preferenza dipende interamente dal numero di seggi assegnati a ciascun collegio plurinominale. Quanto più il collegio è piccolo, tanto più raramente una lista vi conquista un secondo seggio e tanto maggiore è la quota degli eletti che sono capilista. In un collegio di due o tre seggi la preferenza è, per quasi tutte le liste, priva di effetto.</w:t>
      </w:r>
    </w:p>
    <w:p w14:paraId="7FEA3985" w14:textId="77777777" w:rsidR="00014EBB" w:rsidRPr="00C96F33" w:rsidRDefault="00000000">
      <w:pPr>
        <w:spacing w:after="140" w:line="360" w:lineRule="auto"/>
        <w:jc w:val="both"/>
      </w:pPr>
      <w:r w:rsidRPr="00C96F33">
        <w:t>La legge n. 180 del 2026 non contiene alcuna garanzia sull'ampiezza dei collegi. Per la Camera si limita a rinviare ai collegi plurinominali della tabella A.2 allegata al decreto legislativo 23 dicembre 2020, n. 177 (art. 1, comma 3, del d.P.R. n. 361 del 1957, come sostituito dall'art. 1, comma 1, lettera c), della legge n. 180 del 2026). Quei collegi sono stati disegnati per un sistema diverso, nel quale i collegi plurinominali erano formati dall'aggregazione di collegi uninominali (art. 3, comma 1, lettera b), della legge 3 novembre 2017, n. 165). La legge n. 180 del 2026 ha inoltre abrogato la disposizione che disciplinava la revisione dei collegi e ne affidava la preparazione a una commissione presieduta dal presidente dell'Istituto nazionale di statistica, chiamata a formulare indicazioni sulla base del censimento e secondo i criteri della legge del 2017 (art. 3, comma 6, della legge n. 165 del 2017, abrogato dall'art. 4 della legge n. 180 del 2026). La legge non fissa un numero minimo di seggi per collegio. Fissa invece in ogni caso in sette, compreso il capolista, il numero dei candidati di ciascuna lista (art. 18-bis, comma 3, del d.P.R. n. 361 del 1957, come modificato dall'art. 1, comma 8, lettera g), della legge n. 180 del 2026).</w:t>
      </w:r>
    </w:p>
    <w:p w14:paraId="57ADA9E3" w14:textId="77777777" w:rsidR="00014EBB" w:rsidRPr="001B041D" w:rsidRDefault="00000000">
      <w:pPr>
        <w:spacing w:after="140" w:line="360" w:lineRule="auto"/>
        <w:jc w:val="both"/>
      </w:pPr>
      <w:r w:rsidRPr="00C96F33">
        <w:t>Già oggi, del resto, l'ampiezza dei collegi si riduce proprio quando opera il premio. In tal caso i seggi distribuiti tra i collegi plurinominali di ciascuna circoscrizione sono quelli spettanti alla circoscrizione, detratti i seggi del premio (art. 3, comma 2, lettera a), del d.P.R. n. 361 del 1957, come sostituito dall'art. 1, comma 3, della legge n. 180 del 2026). Qualsiasi futura ridefinizione che riduca le dimensioni dei collegi e ne aumenti il numero, che nessuna disposizione della legge n. 180 del 2026 vincola a dimensioni minime, accrescerebbe ancora la quota degli eletti capilista, fino a rendere la preferenza meramente nominale. Una garanzia della libertà del voto la cui effettività dipende da una variabile che la legge lascia del tutto libera non è una garanzia effettiva. Per questa ragione strutturale la preferenza prevista dalla legge n. 180 del 2026 è, in larga misura, solo apparente.</w:t>
      </w:r>
    </w:p>
    <w:p w14:paraId="3C5B4BFF" w14:textId="77777777" w:rsidR="00014EBB" w:rsidRPr="001B041D" w:rsidRDefault="00000000">
      <w:pPr>
        <w:spacing w:after="140" w:line="360" w:lineRule="auto"/>
        <w:jc w:val="both"/>
      </w:pPr>
      <w:r>
        <w:t>La sottrazione del capolista al voto di preferenza non è necessaria a nessuna finalità costituzionalmente apprezzabile che non possa essere perseguita con mezzi meno restrittivi. Il suo effetto complessivo è restituire ai vertici dei partiti la determinazione della gran parte degli eletti.</w:t>
      </w:r>
    </w:p>
    <w:p w14:paraId="0B8F354D" w14:textId="77777777" w:rsidR="00014EBB" w:rsidRPr="001B041D" w:rsidRDefault="00000000">
      <w:pPr>
        <w:keepNext/>
        <w:spacing w:before="200" w:after="120"/>
      </w:pPr>
      <w:r>
        <w:rPr>
          <w:b/>
          <w:bCs/>
          <w:i/>
          <w:iCs/>
        </w:rPr>
        <w:t>Pronuncia richiesta e normativa di risulta</w:t>
      </w:r>
    </w:p>
    <w:p w14:paraId="0FFC8CFD" w14:textId="77777777" w:rsidR="00014EBB" w:rsidRPr="001B041D" w:rsidRDefault="00000000">
      <w:pPr>
        <w:spacing w:after="140" w:line="360" w:lineRule="auto"/>
        <w:jc w:val="both"/>
      </w:pPr>
      <w:r>
        <w:t>Si chiede una pronuncia ablativa delle parole che escludono il capolista dal voto di preferenza e delle disposizioni connesse. La normativa di risulta è immediatamente applicabile. Tutti i candidati della lista, capolista compreso, diverrebbero votabili con preferenza. La scheda prevederebbe per ciascun candidato il quadrato per la preferenza, come già dispone l'art. 31, comma 2, una volta eliminate le parole «Ad eccezione del capolista,». I seggi spettanti alla lista sarebbero attribuiti, e quelli vacanti coperti, «seguendo la graduatoria» delle preferenze (artt. 84, comma 1, e 86, comma 1, del d.P.R. n. 361 del 1957; art. 17-bis, comma 1, del d.lgs. n. 533 del 1993), che a quel punto comprenderebbe anche il capolista. La regola sul candidato eletto in più collegi in posizione di capolista (art. 85 del d.P.R. n. 361 del 1957) resta applicabile, perché la posizione in lista continua a esistere.</w:t>
      </w:r>
    </w:p>
    <w:p w14:paraId="66B97A5C" w14:textId="77777777" w:rsidR="00014EBB" w:rsidRPr="001B041D" w:rsidRDefault="00000000">
      <w:pPr>
        <w:spacing w:after="140" w:line="360" w:lineRule="auto"/>
        <w:jc w:val="both"/>
      </w:pPr>
      <w:r>
        <w:t>Il ricorrente non censura separatamente le liste circoscrizionali del premio. La loro sola caducazione lascerebbe privi di regola di attribuzione i settanta seggi del premio, e la normativa di risulta non sarebbe autosufficiente. La sorte di tali liste è legata alla prima questione (§ VII).</w:t>
      </w:r>
    </w:p>
    <w:p w14:paraId="7497FAF4" w14:textId="77777777" w:rsidR="00014EBB" w:rsidRPr="001B041D" w:rsidRDefault="00000000">
      <w:pPr>
        <w:keepNext/>
        <w:spacing w:before="300" w:after="160"/>
        <w:jc w:val="center"/>
      </w:pPr>
      <w:r>
        <w:rPr>
          <w:b/>
          <w:bCs/>
        </w:rPr>
        <w:t>IX. TERZA QUESTIONE: IL PREMIO NAZIONALE AL SENATO E L'ELEZIONE A BASE REGIONALE</w:t>
      </w:r>
    </w:p>
    <w:p w14:paraId="05835330" w14:textId="77777777" w:rsidR="00014EBB" w:rsidRPr="001B041D" w:rsidRDefault="00000000">
      <w:pPr>
        <w:keepNext/>
        <w:spacing w:before="200" w:after="120"/>
      </w:pPr>
      <w:r>
        <w:rPr>
          <w:b/>
          <w:bCs/>
          <w:i/>
          <w:iCs/>
        </w:rPr>
        <w:t>Disposizioni censurate</w:t>
      </w:r>
    </w:p>
    <w:p w14:paraId="1A1B0552" w14:textId="77777777" w:rsidR="00014EBB" w:rsidRPr="001B041D" w:rsidRDefault="00000000">
      <w:pPr>
        <w:spacing w:after="140" w:line="360" w:lineRule="auto"/>
        <w:ind w:left="567"/>
        <w:jc w:val="both"/>
      </w:pPr>
      <w:r>
        <w:t>– art. 1, comma 2, secondo periodo, del d.lgs. 20 dicembre 1993, n. 533, come sostituito dall'art. 2, comma 1, lettera b), della legge n. 180 del 2026, limitatamente alle parole «, con l'eventuale attribuzione di un premio di governabilità da assegnare, alle condizioni previste dall'articolo 16-bis, alla lista singola o alla coalizione di liste che abbia conseguito il maggior numero di voti validi a livello nazionale in entrambe le Camere e che abbia conseguito almeno il 42 per cento di voti validi in ciascuna di esse», e terzo e quarto periodo del medesimo comma; art. 1, comma 2-ter, lettere a) e b), del medesimo decreto, come sostituito dall'art. 2, comma 1, lettera d); art. 16-bis, comma 1, lettera e-quinquies), lettere da f-bis) a f-quater), e commi 1-ter e 1-quinquies, come introdotti dall'art. 2, comma 9, lettere e), g) e h); art. 16-bis, comma 1, lettera e-sexies), come introdotta dall'art. 2, comma 9, lettera e), limitatamente alle parole «qualora la verifica di cui alla lettera e-ter) abbia dato esito negativo, ovvero una o entrambe le verifiche di cui alla lettera e-quater) abbiano dato esito negativo,»; art. 17, comma 1, lettera a), come sostituito dall'art. 2, comma 10, nella parte in cui prevedono l'attribuzione al Senato di un premio di governabilità di trentacinque seggi sulla base dei voti conseguiti a livello nazionale e la sua assegnazione in ciascuna regione a prescindere dal risultato conseguito nella regione;</w:t>
      </w:r>
    </w:p>
    <w:p w14:paraId="19A7ED10" w14:textId="77777777" w:rsidR="00014EBB" w:rsidRPr="001B041D" w:rsidRDefault="00000000">
      <w:pPr>
        <w:spacing w:after="140" w:line="360" w:lineRule="auto"/>
        <w:ind w:left="567"/>
        <w:jc w:val="both"/>
      </w:pPr>
      <w:r>
        <w:t>– in via consequenziale, art. 9, comma 2, del d.lgs. n. 533 del 1993, come modificato dall'art. 2, comma 4, lettera a), della legge n. 180 del 2026, nella parte in cui prevede le liste circoscrizionali presentate ai fini dell'attribuzione del premio.</w:t>
      </w:r>
    </w:p>
    <w:p w14:paraId="5A3E4339" w14:textId="77777777" w:rsidR="00014EBB" w:rsidRPr="001B041D" w:rsidRDefault="00000000">
      <w:pPr>
        <w:keepNext/>
        <w:spacing w:before="200" w:after="120"/>
      </w:pPr>
      <w:r>
        <w:rPr>
          <w:b/>
          <w:bCs/>
          <w:i/>
          <w:iCs/>
        </w:rPr>
        <w:t>Parametri</w:t>
      </w:r>
    </w:p>
    <w:p w14:paraId="21A5B554" w14:textId="77777777" w:rsidR="00014EBB" w:rsidRPr="001B041D" w:rsidRDefault="00000000">
      <w:pPr>
        <w:spacing w:after="140" w:line="360" w:lineRule="auto"/>
        <w:jc w:val="both"/>
      </w:pPr>
      <w:r>
        <w:t>Artt. 57, primo comma, 3 e 48, secondo comma, Cost.</w:t>
      </w:r>
    </w:p>
    <w:p w14:paraId="6D2A2643" w14:textId="77777777" w:rsidR="00014EBB" w:rsidRPr="001B041D" w:rsidRDefault="00000000">
      <w:pPr>
        <w:keepNext/>
        <w:spacing w:before="200" w:after="120"/>
      </w:pPr>
      <w:r>
        <w:rPr>
          <w:b/>
          <w:bCs/>
          <w:i/>
          <w:iCs/>
        </w:rPr>
        <w:t>Ragioni della censura</w:t>
      </w:r>
    </w:p>
    <w:p w14:paraId="050AD4E0" w14:textId="77777777" w:rsidR="00014EBB" w:rsidRPr="001B041D" w:rsidRDefault="00000000">
      <w:pPr>
        <w:spacing w:after="140" w:line="360" w:lineRule="auto"/>
        <w:jc w:val="both"/>
      </w:pPr>
      <w:r>
        <w:t>L'art. 57, primo comma, Cost. dispone che il Senato della Repubblica «è eletto a base regionale». La disposizione non si limita a stabilire un criterio amministrativo di distribuzione dei seggi tra i territori. Esige che la rappresentanza senatoriale di ciascuna regione sia determinata dai voti espressi in quella regione.</w:t>
      </w:r>
    </w:p>
    <w:p w14:paraId="0B9544A9" w14:textId="77777777" w:rsidR="00014EBB" w:rsidRPr="001B041D" w:rsidRDefault="00000000">
      <w:pPr>
        <w:spacing w:after="140" w:line="360" w:lineRule="auto"/>
        <w:jc w:val="both"/>
      </w:pPr>
      <w:r>
        <w:t>La legge n. 180 del 2026 costruisce invece il premio al Senato secondo una logica interamente nazionale.</w:t>
      </w:r>
    </w:p>
    <w:p w14:paraId="7877AC1B" w14:textId="77777777" w:rsidR="00014EBB" w:rsidRPr="001B041D" w:rsidRDefault="00000000">
      <w:pPr>
        <w:spacing w:after="140" w:line="360" w:lineRule="auto"/>
        <w:ind w:left="567"/>
        <w:jc w:val="both"/>
      </w:pPr>
      <w:r>
        <w:t xml:space="preserve">– </w:t>
      </w:r>
      <w:r>
        <w:rPr>
          <w:b/>
          <w:bCs/>
        </w:rPr>
        <w:t>L'attribuzione è nazionale.</w:t>
      </w:r>
      <w:r>
        <w:t xml:space="preserve"> Il premio di trentacinque seggi spetta alla lista o coalizione che ha ottenuto la maggiore cifra elettorale nazionale e almeno il 42 per cento dei voti validi nazionali (art. 16-bis, comma 1, lettere e-bis), e-ter) ed e-quinquies), del d.lgs. n. 533 del 1993). Inoltre deve aver ottenuto il 42 per cento anche nell'elezione della Camera dei deputati (lettera e-quater). La composizione del Senato dipende così anche da voti espressi per l'altra Camera.</w:t>
      </w:r>
    </w:p>
    <w:p w14:paraId="2212882A" w14:textId="77777777" w:rsidR="00014EBB" w:rsidRPr="001B041D" w:rsidRDefault="00000000">
      <w:pPr>
        <w:spacing w:after="140" w:line="360" w:lineRule="auto"/>
        <w:ind w:left="567"/>
        <w:jc w:val="both"/>
      </w:pPr>
      <w:r>
        <w:t xml:space="preserve">– </w:t>
      </w:r>
      <w:r>
        <w:rPr>
          <w:b/>
          <w:bCs/>
        </w:rPr>
        <w:t>La distribuzione regionale è predeterminata.</w:t>
      </w:r>
      <w:r>
        <w:t xml:space="preserve"> I trentacinque seggi del premio sono distribuiti tra le regioni in anticipo, con decreto del Presidente della Repubblica, sulla base della sola popolazione (art. 1, comma 2-ter, lettera a)). Non conta il voto espresso in ciascuna regione.</w:t>
      </w:r>
    </w:p>
    <w:p w14:paraId="3BFE6C94" w14:textId="77777777" w:rsidR="00014EBB" w:rsidRPr="001B041D" w:rsidRDefault="00000000">
      <w:pPr>
        <w:spacing w:after="140" w:line="360" w:lineRule="auto"/>
        <w:ind w:left="567"/>
        <w:jc w:val="both"/>
      </w:pPr>
      <w:r>
        <w:t xml:space="preserve">– </w:t>
      </w:r>
      <w:r>
        <w:rPr>
          <w:b/>
          <w:bCs/>
        </w:rPr>
        <w:t>L'assegnazione prescinde dal voto regionale.</w:t>
      </w:r>
      <w:r>
        <w:t xml:space="preserve"> In ciascuna regione l'Ufficio elettorale regionale proclama eletti i candidati della lista circoscrizionale presentata dalla lista o coalizione cui è stato attribuito il premio a livello nazionale (art. 17, comma 1, lettera a)). Ciò avviene anche se, in quella regione, la stessa lista o coalizione non è risultata la più votata.</w:t>
      </w:r>
    </w:p>
    <w:p w14:paraId="2A9841E2" w14:textId="77777777" w:rsidR="00014EBB" w:rsidRPr="001B041D" w:rsidRDefault="00000000">
      <w:pPr>
        <w:spacing w:after="140" w:line="360" w:lineRule="auto"/>
        <w:ind w:left="567"/>
        <w:jc w:val="both"/>
      </w:pPr>
      <w:r>
        <w:t xml:space="preserve">– </w:t>
      </w:r>
      <w:r>
        <w:rPr>
          <w:b/>
          <w:bCs/>
        </w:rPr>
        <w:t>Anche la correzione per il tetto è nazionale.</w:t>
      </w:r>
      <w:r>
        <w:t xml:space="preserve"> Se la lista o coalizione premiata supera il tetto di centotredici seggi, i seggi in eccesso le sono sottratti nelle regioni individuate secondo una graduatoria nazionale dei resti e attribuiti ad altre liste (art. 16-bis, comma 1-ter). Il numero dei senatori di ciascuna lista in una regione dipende quindi da operazioni compiute su scala nazionale.</w:t>
      </w:r>
    </w:p>
    <w:p w14:paraId="2E2445F5" w14:textId="77777777" w:rsidR="00014EBB" w:rsidRPr="001B041D" w:rsidRDefault="00000000">
      <w:pPr>
        <w:spacing w:after="140" w:line="360" w:lineRule="auto"/>
        <w:jc w:val="both"/>
      </w:pPr>
      <w:r>
        <w:t>Ne deriva che il numero di senatori attribuiti a ciascuna lista nella regione del ricorrente non dipende soltanto dai voti espressi in quella regione, ma anche da voti espressi in altre regioni e perfino nell'elezione dell'altra Camera. Il voto del ricorrente, espresso in un'elezione che la Costituzione vuole regionale, vede alterato il proprio effetto da un risultato che si forma fuori dalla sua regione. La base regionale si riduce così a un criterio di distribuzione dei seggi, privo di contenuto rappresentativo.</w:t>
      </w:r>
    </w:p>
    <w:p w14:paraId="409C8D17" w14:textId="77777777" w:rsidR="00014EBB" w:rsidRPr="001B041D" w:rsidRDefault="00000000">
      <w:pPr>
        <w:spacing w:after="140" w:line="360" w:lineRule="auto"/>
        <w:jc w:val="both"/>
      </w:pPr>
      <w:r>
        <w:t>La giurisprudenza costituzionale non ha mai scrutinato un premio nazionale al Senato. La sentenza n. 1 del 2014 ha dichiarato illegittimi i premi regionali previsti dalla legge n. 270 del 2005 per il Senato, rilevando che essi potevano rendere la maggioranza in seno a quell'assemblea «il risultato casuale di una somma di premi regionali» (massima n. 37584). La Corte ha così censurato l'irragionevolezza di quei premi. Non ha affermato che la Costituzione consenta di sostituirli con un premio calcolato su base nazionale.</w:t>
      </w:r>
    </w:p>
    <w:p w14:paraId="50DD70F7" w14:textId="77777777" w:rsidR="00014EBB" w:rsidRPr="001B041D" w:rsidRDefault="00000000">
      <w:pPr>
        <w:spacing w:after="140" w:line="360" w:lineRule="auto"/>
        <w:jc w:val="both"/>
      </w:pPr>
      <w:r>
        <w:t>Né il premio nazionale può essere giustificato con l'esigenza, richiamata dalla sentenza n. 35 del 2017, che i sistemi elettorali delle due Camere non ostacolino la formazione di maggioranze parlamentari omogenee (massima n. 40261). Quell'obiettivo deve essere perseguito con strumenti compatibili con l'art. 57 Cost. Il legislatore dispone già di uno strumento di coordinamento: il premio alla Camera è attribuito solo se la stessa lista o coalizione ha raggiunto il 42 per cento dei voti validi anche al Senato (art. 83, comma 1, lettera e-quinquies, del d.P.R. n. 361 del 1957). L'ulteriore sacrificio della base regionale dell'elezione del Senato non è dunque necessario allo scopo, ed è sproporzionato.</w:t>
      </w:r>
    </w:p>
    <w:p w14:paraId="6ED151E9" w14:textId="578910F4" w:rsidR="00014EBB" w:rsidRPr="001B041D" w:rsidRDefault="00000000">
      <w:pPr>
        <w:spacing w:after="140" w:line="360" w:lineRule="auto"/>
        <w:jc w:val="both"/>
      </w:pPr>
      <w:r>
        <w:t>Né rileva che, dopo la legge costituzionale 18 ottobre 2021, n. 1, i corpi elettorali delle due Camere coincidano. Quella legge ha modificato l'art. 58 Cost., non l'art. 57, che continua a esigere l'elezione del Senato a base regionale. La coincidenza degli elettorati rende anzi ancora meno necessario un premio nazionale: elettori identici, chiamati a votare per le stesse coalizioni, tendono già di per sé a esprimere maggioranze omogenee.</w:t>
      </w:r>
    </w:p>
    <w:p w14:paraId="6B225CA6" w14:textId="77777777" w:rsidR="00014EBB" w:rsidRPr="001B041D" w:rsidRDefault="00000000">
      <w:pPr>
        <w:keepNext/>
        <w:spacing w:before="200" w:after="120"/>
      </w:pPr>
      <w:r>
        <w:rPr>
          <w:b/>
          <w:bCs/>
          <w:i/>
          <w:iCs/>
        </w:rPr>
        <w:t>Pronuncia richiesta e normativa di risulta</w:t>
      </w:r>
    </w:p>
    <w:p w14:paraId="20494ED5" w14:textId="77777777" w:rsidR="00014EBB" w:rsidRPr="001B041D" w:rsidRDefault="00000000">
      <w:pPr>
        <w:spacing w:after="140" w:line="360" w:lineRule="auto"/>
        <w:jc w:val="both"/>
      </w:pPr>
      <w:r>
        <w:t>Si chiede una pronuncia ablativa delle disposizioni che prevedono e attribuiscono il premio al Senato e, per la lettera e-sexies) dell'art. 16-bis, comma 1, delle sole parole che subordinano il riparto senza premio all'esito negativo delle verifiche. La normativa di risulta è immediatamente applicabile e non richiede alcun intervento additivo. Eliminate quelle parole, la lettera e-sexies) dispone che l'Ufficio centrale nazionale «procede ai sensi del comma 1-bis». Il comma 1-bis, che si applica «Nei casi di cui al comma 1, lettera e-sexies)», prevede la distribuzione, in ciascuna regione, di tutti i seggi spettanti alla regione in base alle cifre elettorali regionali, e la loro ripartizione tra i collegi è già disciplinata per questo caso (art. 1, comma 2-ter, lettera c); art. 17, comma 3, lettera b)). Le verifiche delle lettere e-ter) ed e-quater) restano formalmente in vigore ma non producono più alcun effetto. Le liste circoscrizionali del premio perderebbero ogni funzione e la loro disciplina andrebbe caducata in via consequenziale.</w:t>
      </w:r>
    </w:p>
    <w:p w14:paraId="3762050A" w14:textId="77777777" w:rsidR="00014EBB" w:rsidRPr="001B041D" w:rsidRDefault="00000000">
      <w:pPr>
        <w:keepNext/>
        <w:spacing w:before="300" w:after="160"/>
        <w:jc w:val="center"/>
      </w:pPr>
      <w:r>
        <w:rPr>
          <w:b/>
          <w:bCs/>
        </w:rPr>
        <w:t>X. QUARTA QUESTIONE: L'INDICAZIONE OBBLIGATORIA DELLA PROPOSTA PER L'INCARICO DI PRESIDENTE DEL CONSIGLIO</w:t>
      </w:r>
    </w:p>
    <w:p w14:paraId="46682B4C" w14:textId="77777777" w:rsidR="00014EBB" w:rsidRPr="001B041D" w:rsidRDefault="00000000">
      <w:pPr>
        <w:keepNext/>
        <w:spacing w:before="200" w:after="120"/>
      </w:pPr>
      <w:r>
        <w:rPr>
          <w:b/>
          <w:bCs/>
          <w:i/>
          <w:iCs/>
        </w:rPr>
        <w:t>Disposizioni censurate</w:t>
      </w:r>
    </w:p>
    <w:p w14:paraId="2551D435" w14:textId="77777777" w:rsidR="00014EBB" w:rsidRPr="001B041D" w:rsidRDefault="00000000">
      <w:pPr>
        <w:spacing w:after="140" w:line="360" w:lineRule="auto"/>
        <w:ind w:left="567"/>
        <w:jc w:val="both"/>
      </w:pPr>
      <w:r>
        <w:t>– art. 14-bis, comma 3, del d.P.R. n. 361 del 1957, come modificato dall'art. 1, comma 6, lettera b), della legge n. 180 del 2026, nella parte in cui obbliga le liste a dichiarare il nome della persona da indicare come proposta per l'incarico di Presidente del Consiglio dei ministri, e le liste collegate a dichiarare «obbligatoriamente il medesimo nome»;</w:t>
      </w:r>
    </w:p>
    <w:p w14:paraId="4F46C7AD" w14:textId="77777777" w:rsidR="00014EBB" w:rsidRPr="001B041D" w:rsidRDefault="00000000">
      <w:pPr>
        <w:spacing w:after="140" w:line="360" w:lineRule="auto"/>
        <w:ind w:left="567"/>
        <w:jc w:val="both"/>
      </w:pPr>
      <w:r>
        <w:t>– art. 22, comma 1, numero 1-ter), del d.P.R. n. 361 del 1957, come modificato dall'art. 1, comma 13, lettera a), della legge n. 180 del 2026, nella parte in cui prevede l'esclusione delle liste che non abbiano dichiarato tale nome</w:t>
      </w:r>
      <w:r>
        <w:rPr/>
        <w:t>;</w:t>
      </w:r>
    </w:p>
    <w:p w14:paraId="157F4A02" w14:textId="77777777" w:rsidR="00014EBB" w:rsidRPr="001B041D" w:rsidRDefault="00000000">
      <w:pPr>
        <w:spacing w:after="140" w:line="360" w:lineRule="auto"/>
        <w:ind w:left="567"/>
        <w:jc w:val="both"/>
      </w:pPr>
      <w:r w:rsidRPr="00C96F33">
        <w:t>– art. 8, comma 1, del d.lgs. n. 533 del 1993, nella parte in cui, prescrivendo l'osservanza delle norme di cui all'art. 14-bis del d.P.R. n. 361 del 1957, estende all'elezione del Senato della Repubblica l'obbligo di indicazione e la conseguente esclusione delle liste.</w:t>
      </w:r>
    </w:p>
    <w:p w14:paraId="69670A31" w14:textId="77777777" w:rsidR="00014EBB" w:rsidRPr="001B041D" w:rsidRDefault="00000000">
      <w:pPr>
        <w:keepNext/>
        <w:spacing w:before="200" w:after="120"/>
      </w:pPr>
      <w:r>
        <w:rPr>
          <w:b/>
          <w:bCs/>
          <w:i/>
          <w:iCs/>
        </w:rPr>
        <w:t>Parametri</w:t>
      </w:r>
    </w:p>
    <w:p w14:paraId="30FEEB8B" w14:textId="77777777" w:rsidR="00014EBB" w:rsidRPr="001B041D" w:rsidRDefault="00000000">
      <w:pPr>
        <w:spacing w:after="140" w:line="360" w:lineRule="auto"/>
        <w:jc w:val="both"/>
      </w:pPr>
      <w:r>
        <w:t>Artt. 1, secondo comma, 48, secondo comma, 49, 92 e 94 Cost.; art. 67 Cost., richiamato a sostegno della censura.</w:t>
      </w:r>
    </w:p>
    <w:p w14:paraId="3E9F02FF" w14:textId="77777777" w:rsidR="00014EBB" w:rsidRPr="001B041D" w:rsidRDefault="00000000">
      <w:pPr>
        <w:keepNext/>
        <w:spacing w:before="200" w:after="120"/>
      </w:pPr>
      <w:r>
        <w:rPr>
          <w:b/>
          <w:bCs/>
          <w:i/>
          <w:iCs/>
        </w:rPr>
        <w:t>Ragioni della censura</w:t>
      </w:r>
    </w:p>
    <w:p w14:paraId="7542BFC2" w14:textId="77777777" w:rsidR="00014EBB" w:rsidRPr="001B041D" w:rsidRDefault="00000000">
      <w:pPr>
        <w:spacing w:after="140" w:line="360" w:lineRule="auto"/>
        <w:jc w:val="both"/>
      </w:pPr>
      <w:r>
        <w:t>La Costituzione non prevede l'elezione diretta del Presidente del Consiglio. L'art. 92 Cost. attribuisce al Presidente della Repubblica la nomina del Presidente del Consiglio. L'art. 94 Cost. rimette alle Camere la fiducia al Governo. La forma di governo parlamentare presuppone che l'investitura del Governo passi per il Parlamento e non per il corpo elettorale.</w:t>
      </w:r>
    </w:p>
    <w:p w14:paraId="1CC36E7D" w14:textId="77777777" w:rsidR="00014EBB" w:rsidRPr="001B041D" w:rsidRDefault="00000000">
      <w:pPr>
        <w:spacing w:after="140" w:line="360" w:lineRule="auto"/>
        <w:jc w:val="both"/>
      </w:pPr>
      <w:r>
        <w:t>La legge n. 180 del 2026 trasforma l'indicazione del Presidente del Consiglio in una condizione di ammissione alla competizione elettorale. Le liste che non dichiarano un nome sono ricusate: la legge n. 180 del 2026 ha aggiunto questa causa di ricusazione a quella, già prevista, del mancato deposito del programma elettorale (art. 22, comma 1, numero 1-ter, del d.P.R. n. 361 del 1957). Le liste collegate devono dichiarare tutte lo stesso nome. Il premio di governabilità è attribuito alla coalizione che ha dichiarato quel nome. Ne derivano due effetti sul diritto di voto del ricorrente.</w:t>
      </w:r>
    </w:p>
    <w:p w14:paraId="10727260" w14:textId="77777777" w:rsidR="00014EBB" w:rsidRPr="001B041D" w:rsidRDefault="00000000">
      <w:pPr>
        <w:spacing w:after="140" w:line="360" w:lineRule="auto"/>
        <w:jc w:val="both"/>
      </w:pPr>
      <w:r>
        <w:rPr>
          <w:b/>
          <w:bCs/>
        </w:rPr>
        <w:t>a) La restrizione dell'offerta politica.</w:t>
      </w:r>
      <w:r>
        <w:t xml:space="preserve"> Le forze politiche che, per scelta legittima, non intendono indicare un candidato alla Presidenza del Consiglio, o che non intendono indicare lo stesso nome dei propri alleati, sono escluse dalla competizione o costrette a non coalizzarsi. L'offerta tra cui il ricorrente può scegliere ne risulta ristretta, con lesione degli artt. 48 e 49 Cost.</w:t>
      </w:r>
    </w:p>
    <w:p w14:paraId="6F404988" w14:textId="77777777" w:rsidR="00014EBB" w:rsidRPr="00BB287C" w:rsidRDefault="00000000">
      <w:pPr>
        <w:spacing w:after="140" w:line="360" w:lineRule="auto"/>
        <w:jc w:val="both"/>
      </w:pPr>
      <w:r>
        <w:t>La previsione dell'indicazione del «capo della forza politica» è presente nelle leggi elettorali dal 2005 e non è mai stata dichiarata illegittima. La legge n. 180 del 2026 ne muta però la natura: introduce un'autonoma causa di ricusazione delle liste che non dichiarano il nome, impone alle liste collegate di indicare lo stesso nome e lega quell'indicazione al premio di governabilità. Un'indicazione politica diventa così una condizione di ammissione alla competizione elettorale e un elemento della scelta di voto.</w:t>
      </w:r>
    </w:p>
    <w:p w14:paraId="119A92DC" w14:textId="77777777" w:rsidR="00014EBB" w:rsidRPr="001B041D" w:rsidRDefault="00000000">
      <w:pPr>
        <w:spacing w:after="140" w:line="360" w:lineRule="auto"/>
        <w:jc w:val="both"/>
      </w:pPr>
      <w:r>
        <w:rPr>
          <w:b/>
          <w:bCs/>
        </w:rPr>
        <w:t>b) Il voto congiunto obbligato.</w:t>
      </w:r>
      <w:r>
        <w:t xml:space="preserve"> Il ricorrente non può votare una lista senza votare, al tempo stesso, una proposta per la Presidenza del Consiglio. Il voto per l'elezione della Camera assume così, per legge, il significato di un'investitura del capo del Governo, che la Costituzione non prevede e che si sovrappone alle attribuzioni degli artt. 92 e 94 Cost.</w:t>
      </w:r>
    </w:p>
    <w:p w14:paraId="7200CE6C" w14:textId="77777777" w:rsidR="00014EBB" w:rsidRPr="001B041D" w:rsidRDefault="00000000">
      <w:pPr>
        <w:spacing w:after="140" w:line="360" w:lineRule="auto"/>
        <w:jc w:val="both"/>
      </w:pPr>
      <w:r>
        <w:rPr>
          <w:b/>
          <w:bCs/>
        </w:rPr>
        <w:t>c) La clausola di salvaguardia conferma la contraddizione.</w:t>
      </w:r>
      <w:r>
        <w:t xml:space="preserve"> La legge dispone: «Sono fatti salvi le prerogative del Presidente della Repubblica previste dall'articolo 92 della Costituzione, nonché il rispetto di quanto disposto dall'articolo 67 della Costituzione» (art. 14-bis, comma 3, ultimo periodo, del d.P.R. n. 361 del 1957, come sostituito dall'art. 1, comma 6, lettera c), della legge n. 180 del 2026). Una legge ordinaria non ha bisogno di dichiarare salve prerogative costituzionali che non tocca. Se lo fa, è perché il legislatore stesso avverte che la disciplina interferisce con esse.</w:t>
      </w:r>
    </w:p>
    <w:p w14:paraId="23FBF089" w14:textId="77777777" w:rsidR="00014EBB" w:rsidRPr="001B041D" w:rsidRDefault="00000000">
      <w:pPr>
        <w:spacing w:after="140" w:line="360" w:lineRule="auto"/>
        <w:jc w:val="both"/>
      </w:pPr>
      <w:r>
        <w:t xml:space="preserve">La clausola pone la disciplina di fronte a un'alternativa da cui non può uscire. </w:t>
      </w:r>
      <w:r>
        <w:rPr>
          <w:b/>
          <w:bCs/>
        </w:rPr>
        <w:t>O</w:t>
      </w:r>
      <w:r>
        <w:t xml:space="preserve"> l'indicazione del nome produce effetti giuridici sulla formazione del Governo, e allora contrasta con gli artt. 92 e 94 Cost.: una clausola di legge ordinaria non può né derogare a quelle norme né «fare salvo» ciò che la legge stessa ha già compromesso. </w:t>
      </w:r>
      <w:r>
        <w:rPr>
          <w:b/>
          <w:bCs/>
        </w:rPr>
        <w:t>Oppure</w:t>
      </w:r>
      <w:r>
        <w:t xml:space="preserve"> l'indicazione è priva di qualsiasi effetto giuridico, come la clausola vorrebbe. In tal caso non si giustifica che la sua omissione sia sanzionata con l'esclusione della lista dalla competizione elettorale (art. 22, comma 1, numero 1-ter), né che sia imposto alle liste collegate di indicare il medesimo nome. Si restringerebbe l'offerta politica tra cui il ricorrente può scegliere per un adempimento che, per dichiarazione dello stesso legislatore, non incide sulla formazione del Governo. In entrambi i casi la disciplina è irragionevole.</w:t>
      </w:r>
    </w:p>
    <w:p w14:paraId="13476F72" w14:textId="77777777" w:rsidR="00014EBB" w:rsidRPr="001B041D" w:rsidRDefault="00000000">
      <w:pPr>
        <w:spacing w:after="140" w:line="360" w:lineRule="auto"/>
        <w:jc w:val="both"/>
      </w:pPr>
      <w:r>
        <w:t>Resta comunque l'effetto di fatto. Il nome indicato, collegato al premio di governabilità e presentato all'elettore come parte della scelta di voto, condiziona il Presidente della Repubblica nel conferimento dell'incarico e i parlamentari eletti con il premio nel voto di fiducia. La clausola sull'art. 67 Cost. conferma che la disciplina crea un'aspettativa di vincolo tra gli eletti e il nome indicato, in tensione con il divieto di mandato imperativo. Proprio perché la Costituzione non prevede l'investitura popolare del Presidente del Consiglio, una legge elettorale che la produce di fatto, dichiarando al tempo stesso di non volerla produrre, è intrinsecamente contraddittoria.</w:t>
      </w:r>
    </w:p>
    <w:p w14:paraId="4F46F66F" w14:textId="77777777" w:rsidR="00014EBB" w:rsidRPr="001B041D" w:rsidRDefault="00000000">
      <w:pPr>
        <w:spacing w:after="140" w:line="360" w:lineRule="auto"/>
        <w:jc w:val="both"/>
      </w:pPr>
      <w:r w:rsidRPr="002971FB">
        <w:rPr>
          <w:b/>
          <w:bCs/>
        </w:rPr>
        <w:t>d) L'obbligo vale anche per l'elezione del Senato.</w:t>
      </w:r>
      <w:r w:rsidRPr="002971FB">
        <w:t xml:space="preserve"> L'art. 8, comma 1, del d.lgs. n. 533 del 1993 impone ai partiti che intendono presentare candidature per il Senato di depositare il contrassegno «con l'osservanza delle norme di cui agli articoli 14, 14-bis, 15, 16 e 17» del d.P.R. n. 361 del 1957. Il partito che non dichiara il nome della persona proposta per l'incarico di Presidente del Consiglio non osserva dunque le forme prescritte neppure per il Senato, e l'ufficio elettorale regionale verifica proprio «se le candidature siano state presentate in termini e nelle forme prescritte» (art. 10, comma 1, del d.lgs. n. 533 del 1993). L'art. 27, comma 1, dello stesso decreto rende inoltre applicabili al Senato, per tutto ciò che non è disciplinato, le disposizioni del d.P.R. n. 361 del 1957, compresa la causa di esclusione dell'art. 22, comma 1, numero 1-ter). La legge n. 180 del 2026 ha poi legato espressamente le due elezioni: le liste che intendono concorrere al premio al Senato dichiarano il collegamento con le liste che si presentano alla Camera «ai sensi degli articoli 14 e 14-bis» del d.P.R. n. 361 del 1957 (art. 8, comma 1-bis, del d.lgs. n. 533 del 1993, aggiunto dall'art. 2, comma 3, della legge n. 180 del 2026). Il ricorrente, che vota anche per il Senato, subisce perciò la stessa restrizione dell'offerta politica e lo stesso voto congiunto obbligato anche nell'elezione dei senatori.</w:t>
      </w:r>
    </w:p>
    <w:p w14:paraId="117D6E38" w14:textId="77777777" w:rsidR="00014EBB" w:rsidRPr="001B041D" w:rsidRDefault="00000000">
      <w:pPr>
        <w:keepNext/>
        <w:spacing w:before="200" w:after="120"/>
      </w:pPr>
      <w:r>
        <w:rPr>
          <w:b/>
          <w:bCs/>
          <w:i/>
          <w:iCs/>
        </w:rPr>
        <w:t>Pronuncia richiesta e normativa di risulta</w:t>
      </w:r>
    </w:p>
    <w:p w14:paraId="13FA1730" w14:textId="77777777" w:rsidR="00014EBB" w:rsidRPr="001B041D" w:rsidRDefault="00000000">
      <w:pPr>
        <w:spacing w:after="140" w:line="360" w:lineRule="auto"/>
        <w:jc w:val="both"/>
      </w:pPr>
      <w:r>
        <w:t>Si chiede una pronuncia ablativa dell'obbligo di indicazione e della sanzione dell'esclusione. La normativa di risulta è immediatamente applicabile: le liste potrebbero essere presentate anche senza indicare una proposta per l'incarico di Presidente del Consiglio, senza alcuna conseguenza sull'ammissione e sul procedimento elettorale</w:t>
      </w:r>
      <w:r w:rsidRPr="002971FB">
        <w:t>. Lo stesso vale per il Senato: l'art. 8, comma 1, e l'art. 27, comma 1, del d.lgs. n. 533 del 1993 rinviano alle disposizioni del d.P.R. n. 361 del 1957, che dopo la pronuncia non conterrebbero più né l'obbligo né la sanzione. L'art. 8, comma 1, è indicato tra le disposizioni censurate per rendere esplicito questo effetto.</w:t>
      </w:r>
    </w:p>
    <w:p w14:paraId="0BBE7301" w14:textId="77777777" w:rsidR="00014EBB" w:rsidRPr="001B041D" w:rsidRDefault="00000000">
      <w:pPr>
        <w:keepNext/>
        <w:spacing w:before="300" w:after="160"/>
        <w:jc w:val="center"/>
      </w:pPr>
      <w:r>
        <w:rPr>
          <w:b/>
          <w:bCs/>
        </w:rPr>
        <w:t>XI. QUINTA QUESTIONE: LA SANZIONE SULLE PREFERENZE DI GENERE</w:t>
      </w:r>
    </w:p>
    <w:p w14:paraId="6DEA7C23" w14:textId="77777777" w:rsidR="00014EBB" w:rsidRPr="001B041D" w:rsidRDefault="00000000">
      <w:pPr>
        <w:keepNext/>
        <w:spacing w:before="200" w:after="120"/>
      </w:pPr>
      <w:r>
        <w:t>Disposizioni censurate</w:t>
      </w:r>
    </w:p>
    <w:p w14:paraId="57A9449F" w14:textId="77777777" w:rsidR="00014EBB" w:rsidRPr="001B041D" w:rsidRDefault="00000000">
      <w:pPr>
        <w:spacing w:after="140" w:line="360" w:lineRule="auto"/>
        <w:jc w:val="both"/>
      </w:pPr>
      <w:r>
        <w:t>Art. 4, comma 2, del d.P.R. n. 361 del 1957, come sostituito dall'art. 1, comma 4, della legge n. 180 del 2026, e art. 14, comma 1, ultimo periodo, del d.lgs. n. 533 del 1993, come sostituito dall'art. 2, comma 7, lettera a), della stessa legge, nonché le disposizioni che ne riproducono il contenuto (art. 31, comma 5, del d.P.R. n. 361 del 1957, come modificato dall'art. 1, comma 16, lettera f), numero 3), della legge n. 180 del 2026; art. 93-sexies, comma 3, del medesimo decreto, come introdotto dall'art. 1, comma 27, lettera c)), nella parte in cui prevedono che, nel caso di più preferenze espresse, «queste devono riguardare candidati di sesso diverso, pena l'annullamento della seconda e della terza preferenza nell'ordine di lista».</w:t>
      </w:r>
    </w:p>
    <w:p w14:paraId="13BA75FC" w14:textId="77777777" w:rsidR="00014EBB" w:rsidRPr="001B041D" w:rsidRDefault="00000000">
      <w:pPr>
        <w:keepNext/>
        <w:spacing w:before="200" w:after="120"/>
      </w:pPr>
      <w:r>
        <w:t>Parametri</w:t>
      </w:r>
    </w:p>
    <w:p w14:paraId="734CFF70" w14:textId="77777777" w:rsidR="00014EBB" w:rsidRPr="001B041D" w:rsidRDefault="00000000">
      <w:pPr>
        <w:spacing w:after="140" w:line="360" w:lineRule="auto"/>
        <w:jc w:val="both"/>
      </w:pPr>
      <w:r>
        <w:t>Artt. 3 e 48, secondo comma, Cost.</w:t>
      </w:r>
    </w:p>
    <w:p w14:paraId="6BF0630C" w14:textId="77777777" w:rsidR="00014EBB" w:rsidRPr="001B041D" w:rsidRDefault="00000000">
      <w:pPr>
        <w:keepNext/>
        <w:spacing w:before="200" w:after="120"/>
      </w:pPr>
      <w:r>
        <w:t>Ragioni della censura</w:t>
      </w:r>
    </w:p>
    <w:p w14:paraId="0014AAD7" w14:textId="77777777" w:rsidR="00014EBB" w:rsidRPr="001B041D" w:rsidRDefault="00000000">
      <w:pPr>
        <w:spacing w:after="140" w:line="360" w:lineRule="auto"/>
        <w:jc w:val="both"/>
      </w:pPr>
      <w:r>
        <w:t>Il ricorrente non contesta la finalità di riequilibrio della rappresentanza tra i generi, che trova fondamento negli artt. 51, primo comma, e 117, settimo comma, Cost. Contesta il modo in cui la legge la persegue.</w:t>
      </w:r>
    </w:p>
    <w:p w14:paraId="33EAA7BD" w14:textId="77777777" w:rsidR="00014EBB" w:rsidRPr="001B041D" w:rsidRDefault="00000000">
      <w:pPr>
        <w:spacing w:after="140" w:line="360" w:lineRule="auto"/>
        <w:jc w:val="both"/>
      </w:pPr>
      <w:r>
        <w:t>La Corte costituzionale ha ritenuto legittima la doppia preferenza di genere prevista dalla legge elettorale della Campania, perché la sua espressione è «meramente facoltativa» per l'elettore e perché, in caso di due preferenze dello stesso sesso, «l'invalidità colpisce soltanto la seconda preferenza» (sent. n. 4 del 2010). La disciplina della legge n. 180 del 2026 se ne discosta sotto due profili.</w:t>
      </w:r>
    </w:p>
    <w:p w14:paraId="4C31C8E4" w14:textId="77777777" w:rsidR="00014EBB" w:rsidRPr="001B041D" w:rsidRDefault="00000000">
      <w:pPr>
        <w:spacing w:after="140" w:line="360" w:lineRule="auto"/>
        <w:jc w:val="both"/>
      </w:pPr>
      <w:r>
        <w:rPr>
          <w:b/>
          <w:bCs/>
        </w:rPr>
        <w:t>a) Una regola che non si può rispettare alla lettera.</w:t>
      </w:r>
      <w:r>
        <w:t xml:space="preserve"> La legge consente fino a tre preferenze e impone che «queste» riguardino «candidati di sesso diverso». Tre candidati non possono essere tutti di sesso diverso tra loro. Il significato della regola nel caso di tre preferenze (che esse non possano riguardare tutte candidati del medesimo sesso) non si ricava dal testo della legge, ma dalle istruzioni amministrative applicate alle elezioni europee, per le quali vige una formula analoga, ma priva del riferimento all'ordine di lista (art. 14 della legge 24 gennaio 1979, n. 18, come riscritto dall'art. 1, comma 2, lettera c), della legge 22 aprile 2014, n. 65). L'elettore non può conoscere dalla legge quali delle preferenze che esprime saranno valide: la condizione di validità del suo voto di preferenza è rimessa a un'interpretazione correttiva dell'amministrazione.</w:t>
      </w:r>
    </w:p>
    <w:p w14:paraId="2CF4A207" w14:textId="77777777" w:rsidR="00014EBB" w:rsidRPr="001B041D" w:rsidRDefault="00000000">
      <w:pPr>
        <w:spacing w:after="140" w:line="360" w:lineRule="auto"/>
        <w:jc w:val="both"/>
      </w:pPr>
      <w:r>
        <w:rPr>
          <w:b/>
          <w:bCs/>
        </w:rPr>
        <w:t>b) La preferenza che sopravvive la sceglie il partito.</w:t>
      </w:r>
      <w:r>
        <w:t xml:space="preserve"> Nella disciplina esaminata dalla sentenza n. 4 del 2010 era annullata la seconda preferenza espressa dall'elettore. Qui la scheda non consente all'elettore di ordinare le proprie preferenze: si vota tracciando un segno nel quadrato accanto al nome del candidato. La legge annulla quindi «la seconda e la terza preferenza nell'ordine di lista», cioè secondo l'ordine in cui il partito ha collocato i candidati. Se l'elettore esprime più preferenze per candidati dello stesso sesso, resta valida quella per il candidato collocato più in alto dal partito, non quella che l'elettore avrebbe privilegiato. La regola si somma all'esclusione del capolista dal voto di preferenza (§ VIII) e rafforza ulteriormente il potere dei vertici di partito nella selezione degli eletti. Il riferimento all'«ordine di lista» non compare né nella disciplina esaminata dalla sentenza n. 4 del 2010 né in quella delle elezioni europee, che prevede soltanto l'annullamento «della seconda e della terza preferenza»: è introdotto dalla legge n. 180 del 2026.</w:t>
      </w:r>
    </w:p>
    <w:p w14:paraId="3FF8C028" w14:textId="77777777" w:rsidR="00014EBB" w:rsidRPr="001B041D" w:rsidRDefault="00000000">
      <w:pPr>
        <w:spacing w:after="140" w:line="360" w:lineRule="auto"/>
        <w:jc w:val="both"/>
      </w:pPr>
      <w:r>
        <w:t>La sanzione non è dunque la misura «meramente facoltativa» per l'elettore che la sentenza n. 4 del 2010 ha ritenuto compatibile con la libertà del voto: incide sulla validità di preferenze già espresse, in base a un criterio estraneo alla volontà dell'elettore e fissato da una delle parti della competizione.</w:t>
      </w:r>
    </w:p>
    <w:p w14:paraId="5E76B625" w14:textId="77777777" w:rsidR="00014EBB" w:rsidRPr="00CB7737" w:rsidRDefault="00000000">
      <w:pPr>
        <w:keepNext/>
        <w:spacing w:before="200" w:after="120"/>
        <w:rPr>
          <w:b/>
          <w:bCs/>
        </w:rPr>
      </w:pPr>
      <w:r w:rsidRPr="00CB7737">
        <w:rPr>
          <w:b/>
          <w:bCs/>
        </w:rPr>
        <w:t>Pronuncia richiesta e normativa di risulta</w:t>
      </w:r>
    </w:p>
    <w:p w14:paraId="0B369CE9" w14:textId="77777777" w:rsidR="00014EBB" w:rsidRPr="001B041D" w:rsidRDefault="00000000">
      <w:pPr>
        <w:spacing w:after="140" w:line="360" w:lineRule="auto"/>
        <w:jc w:val="both"/>
      </w:pPr>
      <w:r>
        <w:t>In via principale, si chiede una pronuncia ablativa delle parole «, pena l'annullamento della seconda e della terza preferenza nell'ordine di lista». La normativa di risulta è immediatamente applicabile: la regola di genere resterebbe come indicazione rivolta all'elettore, e tutte le preferenze espresse sarebbero valide. In via subordinata, si chiede la caducazione dell'intero periodo «Nel caso di più preferenze espresse, queste devono riguardare candidati di sesso diverso, pena l'annullamento della seconda e della terza preferenza nell'ordine di lista». Anche in questo caso la normativa di risulta, che consente fino a tre preferenze, è immediatamente applicabile. La scelta di un diverso meccanismo di riequilibrio resterebbe al legislatore.</w:t>
      </w:r>
    </w:p>
    <w:p w14:paraId="0F573F04" w14:textId="77777777" w:rsidR="00014EBB" w:rsidRPr="001B041D" w:rsidRDefault="00000000">
      <w:pPr>
        <w:keepNext/>
        <w:spacing w:before="300" w:after="160"/>
        <w:jc w:val="center"/>
      </w:pPr>
      <w:r>
        <w:rPr>
          <w:b/>
          <w:bCs/>
        </w:rPr>
        <w:t>XII. SESTA QUESTIONE: LE SOTTOSCRIZIONI PER LA PRESENTAZIONE DELLE LISTE</w:t>
      </w:r>
    </w:p>
    <w:p w14:paraId="244EA1F7" w14:textId="77777777" w:rsidR="00014EBB" w:rsidRPr="001B041D" w:rsidRDefault="00000000">
      <w:pPr>
        <w:keepNext/>
        <w:spacing w:before="200" w:after="120"/>
      </w:pPr>
      <w:r>
        <w:rPr>
          <w:b/>
          <w:bCs/>
          <w:i/>
          <w:iCs/>
        </w:rPr>
        <w:t>Disposizioni censurate</w:t>
      </w:r>
    </w:p>
    <w:p w14:paraId="77A847D6" w14:textId="77777777" w:rsidR="00014EBB" w:rsidRPr="001B041D" w:rsidRDefault="00000000">
      <w:pPr>
        <w:spacing w:after="140" w:line="360" w:lineRule="auto"/>
        <w:ind w:left="567"/>
        <w:jc w:val="both"/>
      </w:pPr>
      <w:r>
        <w:t>– art. 18-bis, comma 1, del d.P.R. n. 361 del 1957, come modificato dall'art. 1, comma 8, lettere a) e b), della legge n. 180 del 2026, nella parte in cui prevede che le liste siano sottoscritte da «almeno 6.000 e da non più di 7.000» elettori anziché da almeno 1.500 e da non più di 2.000;</w:t>
      </w:r>
    </w:p>
    <w:p w14:paraId="7068D3A4" w14:textId="77777777" w:rsidR="00014EBB" w:rsidRPr="001B041D" w:rsidRDefault="00000000">
      <w:pPr>
        <w:spacing w:after="140" w:line="360" w:lineRule="auto"/>
        <w:ind w:left="567"/>
        <w:jc w:val="both"/>
      </w:pPr>
      <w:r w:rsidRPr="002971FB">
        <w:t>– art. 9, comma 2, del d.lgs. n. 533 del 1993, nella parte in cui, rinviando all'art. 18-bis del d.P.R. n. 361 del 1957, estende la medesima previsione all'elezione del Senato della Repubblica;</w:t>
      </w:r>
    </w:p>
    <w:p w14:paraId="0DD8C50C" w14:textId="77777777" w:rsidR="00014EBB" w:rsidRPr="001B041D" w:rsidRDefault="00000000">
      <w:pPr>
        <w:spacing w:after="140" w:line="360" w:lineRule="auto"/>
        <w:ind w:left="567"/>
        <w:jc w:val="both"/>
      </w:pPr>
      <w:r>
        <w:t>– in via subordinata, art. 1, comma 9, della legge n. 180 del 2026, nella parte in cui dispone che, in sede di prima applicazione, i requisiti per il regime agevolato (costituzione in gruppo parlamentare o componente politica di gruppo parlamentare) debbano sussistere alla data di entrata in vigore della legge, anziché alla data di pubblicazione del decreto di indizione dei comizi prevista a regime;</w:t>
      </w:r>
    </w:p>
    <w:p w14:paraId="500C0AD7" w14:textId="77777777" w:rsidR="00014EBB" w:rsidRPr="001B041D" w:rsidRDefault="00000000">
      <w:pPr>
        <w:spacing w:after="140" w:line="360" w:lineRule="auto"/>
        <w:ind w:left="567"/>
        <w:jc w:val="both"/>
      </w:pPr>
      <w:r>
        <w:t>– in via subordinata, art. 5 della legge n. 180 del 2026, nella parte in cui dispone che, per le prime elezioni successive alla sua entrata in vigore, le condizioni per l'esonero dalla raccolta delle sottoscrizioni (art. 18-bis, comma 2, primo periodo, del d.P.R. n. 361 del 1957) debbano sussistere alla data del 31 dicembre 2025.</w:t>
      </w:r>
    </w:p>
    <w:p w14:paraId="7908BDC2" w14:textId="77777777" w:rsidR="00014EBB" w:rsidRPr="001B041D" w:rsidRDefault="00000000">
      <w:pPr>
        <w:keepNext/>
        <w:spacing w:before="200" w:after="120"/>
      </w:pPr>
      <w:r>
        <w:rPr>
          <w:b/>
          <w:bCs/>
          <w:i/>
          <w:iCs/>
        </w:rPr>
        <w:t>Parametri</w:t>
      </w:r>
    </w:p>
    <w:p w14:paraId="5F64ABA5" w14:textId="77777777" w:rsidR="00014EBB" w:rsidRPr="001B041D" w:rsidRDefault="00000000">
      <w:pPr>
        <w:spacing w:after="140" w:line="360" w:lineRule="auto"/>
        <w:jc w:val="both"/>
      </w:pPr>
      <w:r>
        <w:t>Artt. 3, 48 e 49 Cost.</w:t>
      </w:r>
    </w:p>
    <w:p w14:paraId="3419AFA2" w14:textId="77777777" w:rsidR="00014EBB" w:rsidRPr="001B041D" w:rsidRDefault="00000000">
      <w:pPr>
        <w:keepNext/>
        <w:spacing w:before="200" w:after="120"/>
      </w:pPr>
      <w:r>
        <w:rPr>
          <w:b/>
          <w:bCs/>
          <w:i/>
          <w:iCs/>
        </w:rPr>
        <w:t>Ragioni della censura</w:t>
      </w:r>
    </w:p>
    <w:p w14:paraId="5873B9C2" w14:textId="77777777" w:rsidR="00014EBB" w:rsidRPr="001B041D" w:rsidRDefault="00000000">
      <w:pPr>
        <w:spacing w:after="140" w:line="360" w:lineRule="auto"/>
        <w:jc w:val="both"/>
      </w:pPr>
      <w:r>
        <w:t>L'onere delle sottoscrizioni persegue una finalità legittima: evitare candidature prive di un minimo radicamento. La legge n. 180 del 2026, tuttavia, quadruplica il numero minimo di firme richiesto alle forze politiche non costituite in gruppo parlamentare, che passa da 1.500 a 6.000 per ciascun collegio plurinominale. Per presentarsi in tutti i collegi occorrono così quasi 300.000 sottoscrizioni (doc. 4). Per le forze costituite in gruppo parlamentare o componente politica di gruppo parlamentare alla data di indizione dei comizi resta invece fermo il regime di 1.500-2.000 firme (art. 18-bis, comma 1, secondo periodo).</w:t>
      </w:r>
    </w:p>
    <w:p w14:paraId="6AAA347F" w14:textId="77777777" w:rsidR="00014EBB" w:rsidRPr="001B041D" w:rsidRDefault="00000000">
      <w:pPr>
        <w:spacing w:after="140" w:line="360" w:lineRule="auto"/>
        <w:jc w:val="both"/>
      </w:pPr>
      <w:r>
        <w:t>Per le prime elezioni la disparità è aggravata da due norme transitorie. Il regime agevolato spetta solo a chi era già costituito in gruppo o componente alla data di entrata in vigore della legge, e non alla data di indizione dei comizi come prevede la regola a regime (art. 1, comma 9). L'esonero totale dalle sottoscrizioni spetta, a regime, ai partiti o gruppi politici costituiti in gruppo parlamentare in almeno una delle Camere all'inizio della legislatura in corso al momento della convocazione dei comizi (art. 18-bis, comma 2, primo periodo, del d.P.R. n. 361 del 1957, come modificato dall'art. 1, comma 8, lettera d), della legge n. 180 del 2026). Per le prime elezioni, invece, le relative condizioni devono sussistere al 31 dicembre 2025, cioè a una data anteriore alla stessa approvazione della legge (art. 5). Entrambe le norme transitorie fissano la platea dei soggetti avvantaggiati a date scelte quando la composizione dei gruppi parlamentari era già nota, a beneficio delle sole forze già presenti in Parlamento, senza una ragione che giustifichi la deroga alla regola a regime.</w:t>
      </w:r>
    </w:p>
    <w:p w14:paraId="1EACD0FE" w14:textId="4CE39639" w:rsidR="00014EBB" w:rsidRPr="001B041D" w:rsidRDefault="00000000">
      <w:pPr>
        <w:spacing w:after="140" w:line="360" w:lineRule="auto"/>
        <w:jc w:val="both"/>
      </w:pPr>
      <w:r>
        <w:t>La disparità tra forze già presenti in Parlamento e nuove formazioni non trova una giustificazione proporzionata. Il dato della presenza parlamentare è un indice di consistenza politica, ma non giustifica un onere quattro volte superiore per chi ne è privo. L'onere così aggravato restringe l'offerta politica tra cui il ricorrente è chiamato a scegliere, e incide quindi, sia pure indirettamente, sulla libertà del suo voto (artt. 48 e 49 Cost.).</w:t>
      </w:r>
    </w:p>
    <w:p w14:paraId="008C3A2F" w14:textId="77777777" w:rsidR="00014EBB" w:rsidRPr="001B041D" w:rsidRDefault="00000000">
      <w:pPr>
        <w:spacing w:after="140" w:line="360" w:lineRule="auto"/>
        <w:jc w:val="both"/>
      </w:pPr>
      <w:r w:rsidRPr="002971FB">
        <w:t>La disciplina vale anche per il Senato. L'art. 9, comma 2, del d.lgs. n. 533 del 1993 dispone che la presentazione delle liste di candidati per il Senato «è disciplinata dalle disposizioni contenute nell'articolo 18-bis» del d.P.R. n. 361 del 1957, e il comma 5 dello stesso articolo richiama ancora l'art. 18-bis per le modalità di presentazione. La soglia di 6.000-7.000 sottoscrizioni per collegio plurinominale, il regime agevolato e le norme transitorie che a esso si riferiscono si applicano dunque anche alle liste per il Senato. Le formazioni non presenti in Parlamento devono raccogliere le sottoscrizioni per le liste della Camera e, separatamente, per quelle del Senato, e l'offerta politica tra cui il ricorrente è chiamato a scegliere risulta ristretta in entrambe le elezioni.</w:t>
      </w:r>
    </w:p>
    <w:p w14:paraId="66DA667B" w14:textId="77777777" w:rsidR="00014EBB" w:rsidRPr="001B041D" w:rsidRDefault="00000000">
      <w:pPr>
        <w:keepNext/>
        <w:spacing w:before="200" w:after="120"/>
      </w:pPr>
      <w:r>
        <w:rPr>
          <w:b/>
          <w:bCs/>
          <w:i/>
          <w:iCs/>
        </w:rPr>
        <w:t>Pronuncia richiesta e normativa di risulta</w:t>
      </w:r>
    </w:p>
    <w:p w14:paraId="1038D308" w14:textId="10836338" w:rsidR="002F1BBC" w:rsidRDefault="002F1BBC" w:rsidP="002F1BBC">
      <w:pPr>
        <w:keepNext/>
        <w:spacing w:before="300" w:after="160"/>
        <w:jc w:val="both"/>
      </w:pPr>
      <w:r>
        <w:t>Si chiede una pronuncia sostitutiva nella parte in cui la disposizione prevede «almeno 6.000 e da non più di 7.000» sottoscrizioni anziché «almeno 1.500 e da non più di 2.000». La soluzione non richiede scelte estranee al sistema: la misura è quella che lo stesso legislatore, nella medesima disposizione, ha ritenuto adeguata ad attestare la serietà delle candidature delle forze costituite in gruppo parlamentare. Essa costituisce pertanto un punto di riferimento già presente nell’ordinamento, che consente di rimuovere la disparità senza sostituire alla valutazione del legislatore una valutazione della Corte, ferma restando la possibilità per il legislatore di stabilire, nel rispetto dei principi costituzionali, una diversa misura uniforme. La normativa di risulta è immediatamente applicabile</w:t>
      </w:r>
      <w:r w:rsidRPr="002971FB">
        <w:t>. Per il rinvio dell'art. 9, comma 2, del d.lgs. n. 533 del 1993, la pronuncia produrrebbe lo stesso effetto per le liste del Senato.</w:t>
      </w:r>
    </w:p>
    <w:p w14:paraId="3418774A" w14:textId="57C9CACD" w:rsidR="00014EBB" w:rsidRPr="001B041D" w:rsidRDefault="002F1BBC" w:rsidP="002F1BBC">
      <w:pPr>
        <w:keepNext/>
        <w:spacing w:before="300" w:after="160"/>
        <w:jc w:val="both"/>
      </w:pPr>
      <w:r>
        <w:rPr>
          <w:b/>
          <w:bCs/>
        </w:rPr>
        <w:t>XIII. RILEVANZA E NON MANIFESTA INFONDATEZZA</w:t>
      </w:r>
    </w:p>
    <w:p w14:paraId="29A5310B" w14:textId="77777777" w:rsidR="00014EBB" w:rsidRPr="001B041D" w:rsidRDefault="00000000">
      <w:pPr>
        <w:spacing w:after="140" w:line="360" w:lineRule="auto"/>
        <w:jc w:val="both"/>
      </w:pPr>
      <w:r>
        <w:rPr>
          <w:b/>
          <w:bCs/>
        </w:rPr>
        <w:t>Rilevanza.</w:t>
      </w:r>
      <w:r>
        <w:t xml:space="preserve"> Codesto Tribunale non può decidere la domanda di accertamento senza applicare le disposizioni censurate, perché sono queste a definire oggi le modalità con cui il ricorrente eserciterà il proprio diritto di voto.</w:t>
      </w:r>
    </w:p>
    <w:p w14:paraId="415740B2" w14:textId="77777777" w:rsidR="00014EBB" w:rsidRPr="001B041D" w:rsidRDefault="00000000">
      <w:pPr>
        <w:spacing w:after="140" w:line="360" w:lineRule="auto"/>
        <w:ind w:left="567"/>
        <w:jc w:val="both"/>
      </w:pPr>
      <w:r>
        <w:t>– per la prima questione, il premio determina il peso del voto del ricorrente nella composizione di entrambe le Camere, per qualunque lista egli voti;</w:t>
      </w:r>
    </w:p>
    <w:p w14:paraId="4B59D45D" w14:textId="0F0B6871" w:rsidR="00014EBB" w:rsidRPr="001B041D" w:rsidRDefault="00000000">
      <w:pPr>
        <w:spacing w:after="140" w:line="360" w:lineRule="auto"/>
        <w:ind w:left="567"/>
        <w:jc w:val="both"/>
      </w:pPr>
      <w:r>
        <w:t>– per la seconda questione, l'esclusione del capolista dal voto di preferenza delimita le scelte che il ricorrente potrà esprimere nel collegio plurinominale, in cui è iscritto;</w:t>
      </w:r>
    </w:p>
    <w:p w14:paraId="5034DC9C" w14:textId="57AFD93D" w:rsidR="00014EBB" w:rsidRPr="001B041D" w:rsidRDefault="00000000">
      <w:pPr>
        <w:spacing w:after="140" w:line="360" w:lineRule="auto"/>
        <w:ind w:left="567"/>
        <w:jc w:val="both"/>
      </w:pPr>
      <w:r>
        <w:t>– per la terza questione, il premio nazionale determina il numero dei senatori eletti nella regione Campania, in cui il ricorrente vota per il Senato;</w:t>
      </w:r>
    </w:p>
    <w:p w14:paraId="17002AEF" w14:textId="77777777" w:rsidR="00014EBB" w:rsidRPr="002971FB" w:rsidRDefault="00000000">
      <w:pPr>
        <w:spacing w:after="140" w:line="360" w:lineRule="auto"/>
        <w:ind w:left="567"/>
        <w:jc w:val="both"/>
      </w:pPr>
      <w:r w:rsidRPr="002971FB">
        <w:t>– per la quarta questione, l'obbligo di indicazione attribuisce al voto del ricorrente il significato di una proposta per la Presidenza del Consiglio e delimita le liste tra cui egli potrà scegliere, sia nell'elezione della Camera sia, per il rinvio dell'art. 8, comma 1, del d.lgs. n. 533 del 1993, in quella del Senato;</w:t>
      </w:r>
    </w:p>
    <w:p w14:paraId="3658E848" w14:textId="77777777" w:rsidR="00014EBB" w:rsidRPr="002971FB" w:rsidRDefault="00000000">
      <w:pPr>
        <w:spacing w:after="140" w:line="360" w:lineRule="auto"/>
        <w:ind w:left="567"/>
        <w:jc w:val="both"/>
      </w:pPr>
      <w:r w:rsidRPr="002971FB">
        <w:t>– per la quinta questione, la sanzione di genere determina quali delle preferenze che il ricorrente esprimerà saranno valide;</w:t>
      </w:r>
    </w:p>
    <w:p w14:paraId="2119315B" w14:textId="77777777" w:rsidR="00014EBB" w:rsidRPr="001B041D" w:rsidRDefault="00000000">
      <w:pPr>
        <w:spacing w:after="140" w:line="360" w:lineRule="auto"/>
        <w:ind w:left="567"/>
        <w:jc w:val="both"/>
      </w:pPr>
      <w:r w:rsidRPr="002971FB">
        <w:t>– per la sesta questione, l'onere delle sottoscrizioni delimita l'offerta politica tra cui il ricorrente potrà scegliere, nell'elezione della Camera e, per il rinvio dell'art. 9, comma 2, del d.lgs. n. 533 del 1993, in quella del Senato.</w:t>
      </w:r>
    </w:p>
    <w:p w14:paraId="0BD3D020" w14:textId="77777777" w:rsidR="00014EBB" w:rsidRPr="001B041D" w:rsidRDefault="00000000">
      <w:pPr>
        <w:spacing w:after="140" w:line="360" w:lineRule="auto"/>
        <w:jc w:val="both"/>
      </w:pPr>
      <w:r>
        <w:t>Il nesso di pregiudizialità è più diretto per le prime tre questioni e più mediato per le altre. L'ordine di esposizione riflette tale diversa intensità.</w:t>
      </w:r>
    </w:p>
    <w:p w14:paraId="57E4176B" w14:textId="77777777" w:rsidR="00014EBB" w:rsidRPr="001B041D" w:rsidRDefault="00000000">
      <w:pPr>
        <w:spacing w:after="140" w:line="360" w:lineRule="auto"/>
        <w:jc w:val="both"/>
      </w:pPr>
      <w:r>
        <w:rPr>
          <w:b/>
          <w:bCs/>
        </w:rPr>
        <w:t>Non manifesta infondatezza.</w:t>
      </w:r>
      <w:r>
        <w:t xml:space="preserve"> Le questioni sono non manifestamente infondate per le ragioni esposte ai §§ VII-XII. Tali ragioni muovono dai principi affermati dalla Corte costituzionale nelle sentenze n. 1 del 2014 e n. 35 del 2017 e sono supportate dalle simulazioni prodotte (doc. 4), che mostrano il funzionamento concreto delle regole censurate in scenari elettorali verosimili.</w:t>
      </w:r>
    </w:p>
    <w:p w14:paraId="64633BC3" w14:textId="77777777" w:rsidR="00014EBB" w:rsidRPr="001B041D" w:rsidRDefault="00000000">
      <w:pPr>
        <w:keepNext/>
        <w:spacing w:before="300" w:after="160"/>
        <w:jc w:val="center"/>
      </w:pPr>
      <w:r>
        <w:rPr>
          <w:b/>
          <w:bCs/>
        </w:rPr>
        <w:t>XIV. CONCLUSIONI</w:t>
      </w:r>
    </w:p>
    <w:p w14:paraId="2684A42D" w14:textId="0ADB9DF5" w:rsidR="00A95B4A" w:rsidRPr="001B041D" w:rsidRDefault="00000000">
      <w:pPr>
        <w:spacing w:after="140" w:line="360" w:lineRule="auto"/>
        <w:jc w:val="both"/>
      </w:pPr>
      <w:r>
        <w:t>È appena il caso di sottolineare l’estrema urgenza di sollecita trattazione del presente ricorso, affinché la rimessione alla Corte costituzionale delle questioni sollevate possa avvenire nel minor tempo, per consentire alla Corte di pronunciarsi prima dell’eventuale scioglimento anticipato delle Camere, che già aleggia nell’agone politico in quest’ultimo scorcio di legislatura.</w:t>
      </w:r>
    </w:p>
    <w:p w14:paraId="2684A42D" w14:textId="0ADB9DF5" w:rsidR="00A95B4A" w:rsidRPr="001B041D" w:rsidRDefault="00000000">
      <w:pPr>
        <w:spacing w:after="140" w:line="360" w:lineRule="auto"/>
        <w:jc w:val="both"/>
      </w:pPr>
      <w:r>
        <w:t xml:space="preserve">Per tutti i motivi esposti, il ricorrente chiede che l'Ill.mo Tribunale adito voglia fissare l’udienza di comparizione delle parti, con </w:t>
      </w:r>
    </w:p>
    <w:p w14:paraId="245B085F" w14:textId="77777777" w:rsidR="00A95B4A" w:rsidRPr="001B041D" w:rsidRDefault="00A95B4A" w:rsidP="00A95B4A">
      <w:pPr>
        <w:keepNext/>
        <w:spacing w:before="300" w:after="160"/>
        <w:jc w:val="center"/>
      </w:pPr>
      <w:r>
        <w:rPr>
          <w:b/>
          <w:bCs/>
        </w:rPr>
        <w:t>AVVERTIMENTO AI SENSI DELL'ART. 281-UNDECIES C.P.C.</w:t>
      </w:r>
    </w:p>
    <w:p w14:paraId="4DF88427" w14:textId="08814F06" w:rsidR="00014EBB" w:rsidRPr="001B041D" w:rsidRDefault="007A4640">
      <w:pPr>
        <w:spacing w:after="140" w:line="360" w:lineRule="auto"/>
        <w:jc w:val="both"/>
      </w:pPr>
      <w:r>
        <w:t>ai convenuti che devono costituirsi in giudizio non oltre dieci giorni prima dell'udienza fissata dal giudice con il decreto di cui all'art. 281-undecies c.p.c., e che la costituzione oltre tale termine implica le decadenze previste dai commi terzo e quarto del medesimo articolo; che la difesa tecnica mediante avvocato è obbligatoria fatta eccezione per i casi previsti dall’articolo 86 c.p.c. o da leggi speciali; che la parte, sussistendone i presupposti di legge, può presentare istanza per l'ammissione al patrocinio a spese dello Stato;</w:t>
      </w:r>
    </w:p>
    <w:p w14:paraId="1E66002F" w14:textId="17003DEE" w:rsidR="00A95B4A" w:rsidRPr="001B041D" w:rsidRDefault="00A95B4A">
      <w:pPr>
        <w:spacing w:after="140" w:line="360" w:lineRule="auto"/>
        <w:jc w:val="both"/>
      </w:pPr>
      <w:r>
        <w:t>onde accogliere, adottati i provvedimenti di rito, le seguenti conclusioni:</w:t>
      </w:r>
    </w:p>
    <w:p w14:paraId="51F29D9D" w14:textId="77777777" w:rsidR="00014EBB" w:rsidRPr="001B041D" w:rsidRDefault="00000000">
      <w:pPr>
        <w:spacing w:after="140" w:line="360" w:lineRule="auto"/>
        <w:jc w:val="both"/>
      </w:pPr>
      <w:r>
        <w:rPr>
          <w:b/>
          <w:bCs/>
        </w:rPr>
        <w:t>1.</w:t>
      </w:r>
      <w:r>
        <w:t xml:space="preserve"> accerti e dichiari che il ricorrente è titolare del diritto di elettorato attivo per l'elezione della Camera dei deputati e del Senato della Repubblica, con i caratteri di libertà, eguaglianza, personalità e immediatezza garantiti dagli artt. 1, secondo comma, 3, 48, secondo comma, 56 e 58 della Costituzione. Accerti e dichiari inoltre il suo diritto di esercitarlo secondo regole che ne assicurino il pieno rispetto, anche nella trasformazione dei voti in seggi e nella scelta personale dei rappresentanti;</w:t>
      </w:r>
    </w:p>
    <w:p w14:paraId="63957AE2" w14:textId="77777777" w:rsidR="00014EBB" w:rsidRPr="001B041D" w:rsidRDefault="00000000">
      <w:pPr>
        <w:spacing w:after="140" w:line="360" w:lineRule="auto"/>
        <w:jc w:val="both"/>
      </w:pPr>
      <w:r>
        <w:rPr>
          <w:b/>
          <w:bCs/>
        </w:rPr>
        <w:t>2.</w:t>
      </w:r>
      <w:r>
        <w:t xml:space="preserve"> ritenuto che il pieno esercizio di tale diritto sia compromesso dalle disposizioni di seguito indicate, della cui legittimità costituzionale si dubita per le ragioni esposte, sollevi, ai sensi dell'art. 23 della legge 11 marzo 1953, n. 87, questione di legittimità costituzionale:</w:t>
      </w:r>
    </w:p>
    <w:p w14:paraId="78980AB0" w14:textId="77777777" w:rsidR="00014EBB" w:rsidRPr="001B041D" w:rsidRDefault="00000000">
      <w:pPr>
        <w:spacing w:after="140" w:line="360" w:lineRule="auto"/>
        <w:ind w:left="567"/>
        <w:jc w:val="both"/>
      </w:pPr>
      <w:r>
        <w:t>a) dell'art. 1, comma 4, del d.P.R. 30 marzo 1957, n. 361, come sostituito dall'art. 1, comma 1, lettera d), della legge n. 180 del 2026, nella parte in cui prevede il premio di governabilità; art. 83, comma 1, lettere e-sexies), f-bis) e f-ter), e commi 1-ter e 1-quinquies, del medesimo decreto, come introdotti dall'art. 1, comma 22, della legge n. 180 del 2026; art. 83-bis, comma 1, lettera a), del medesimo decreto, come sostituito dall'art. 1, comma 23, lettera a), della legge n. 180 del 2026; art. 83, comma 1, lettera e-septies), come introdotta dalla medesima disposizione, limitatamente alle parole «qualora la verifica di cui alla lettera e-quater) abbia dato esito negativo, ovvero una o entrambe le verifiche di cui alla lettera e-quinquies) abbiano dato esito negativo,», nonché dell'art. 1, comma 2, secondo periodo, del d.lgs. 20 dicembre 1993, n. 533, come sostituito dall'art. 2, comma 1, lettera b), della legge n. 180 del 2026, limitatamente alle parole «, con l'eventuale attribuzione di un premio di governabilità da assegnare, alle condizioni previste dall'articolo 16-bis, alla lista singola o alla coalizione di liste che abbia conseguito il maggior numero di voti validi a livello nazionale in entrambe le Camere e che abbia conseguito almeno il 42 per cento di voti validi in ciascuna di esse», e terzo e quarto periodo del medesimo comma; art. 1, comma 2-ter, lettere a) e b), del medesimo decreto, come sostituito dall'art. 2, comma 1, lettera d); art. 16-bis, comma 1, lettera e-quinquies), lettere da f-bis) a f-quater), e commi 1-ter e 1-quinquies, come introdotti dall'art. 2, comma 9, lettere e), g) e h); art. 16-bis, comma 1, lettera e-sexies), come introdotta dall'art. 2, comma 9, lettera e), limitatamente alle parole «qualora la verifica di cui alla lettera e-ter) abbia dato esito negativo, ovvero una o entrambe le verifiche di cui alla lettera e-quater) abbiano dato esito negativo,»; art. 17, comma 1, lettera a), come sostituito dall'art. 2, comma 10, della stessa legge, nella parte in cui prevedono e disciplinano l'attribuzione del premio di governabilità, per contrasto con gli artt. 1, secondo comma, 3, 48, secondo comma, 56 e 58 Cost.;</w:t>
      </w:r>
    </w:p>
    <w:p w14:paraId="7BDEF2ED" w14:textId="77777777" w:rsidR="00014EBB" w:rsidRPr="001B041D" w:rsidRDefault="00000000">
      <w:pPr>
        <w:spacing w:after="140" w:line="360" w:lineRule="auto"/>
        <w:ind w:left="567"/>
        <w:jc w:val="both"/>
      </w:pPr>
      <w:r>
        <w:t>b) dell'art. 1, comma 1, dell'art. 4, comma 2, e dell'art. 31, comma 2, del d.P.R. n. 361 del 1957, come modificati dall'art. 1, commi 1, lettera a), 4 e 16, lettera a), della legge n. 180 del 2026, e dell'art. 2, comma 1, dell'art. 14, comma 1, e dell'art. 16, comma 1, lettera d), del d.lgs. n. 533 del 1993, come modificati dall'art. 2, commi 2, 7, lettera a), e 8, lettera d), della stessa legge, nonché delle disposizioni connesse indicate al § VIII (artt. 31, comma 5, 58, comma 2, 77, comma 1, lettera d), 84, comma 1, 86, comma 1, 93-sexies e 93-septies del d.P.R. n. 361 del 1957; art. 17-bis, comma 1, del d.lgs. n. 533 del 1993), nelle parti ivi indicate, nella parte in cui escludono il capolista dalla possibilità di ricevere voti di preferenza, per contrasto con gli artt. 1, secondo comma, 3, 48, secondo comma, 56 e 58 Cost.;</w:t>
      </w:r>
    </w:p>
    <w:p w14:paraId="331A6B01" w14:textId="77777777" w:rsidR="00014EBB" w:rsidRPr="001B041D" w:rsidRDefault="00000000">
      <w:pPr>
        <w:spacing w:after="140" w:line="360" w:lineRule="auto"/>
        <w:ind w:left="567"/>
        <w:jc w:val="both"/>
      </w:pPr>
      <w:r>
        <w:t>c) dell'art. 1, comma 2, secondo periodo, del d.lgs. 20 dicembre 1993, n. 533, come sostituito dall'art. 2, comma 1, lettera b), della legge n. 180 del 2026, limitatamente alle parole «, con l'eventuale attribuzione di un premio di governabilità da assegnare, alle condizioni previste dall'articolo 16-bis, alla lista singola o alla coalizione di liste che abbia conseguito il maggior numero di voti validi a livello nazionale in entrambe le Camere e che abbia conseguito almeno il 42 per cento di voti validi in ciascuna di esse», e terzo e quarto periodo del medesimo comma; art. 1, comma 2-ter, lettere a) e b), del medesimo decreto, come sostituito dall'art. 2, comma 1, lettera d); art. 16-bis, comma 1, lettera e-quinquies), lettere da f-bis) a f-quater), e commi 1-ter e 1-quinquies, come introdotti dall'art. 2, comma 9, lettere e), g) e h); art. 16-bis, comma 1, lettera e-sexies), come introdotta dall'art. 2, comma 9, lettera e), limitatamente alle parole «qualora la verifica di cui alla lettera e-ter) abbia dato esito negativo, ovvero una o entrambe le verifiche di cui alla lettera e-quater) abbiano dato esito negativo,»; art. 17, comma 1, lettera a), come sostituito dall'art. 2, comma 10, della legge n. 180 del 2026, e, in via consequenziale, dell'art. 9, comma 2, del d.lgs. n. 533 del 1993, come modificato dall'art. 2, comma 4, lettera a), della stessa legge, nella parte in cui prevedono l'attribuzione al Senato di un premio di governabilità sulla base dei voti conseguiti a livello nazionale e la sua assegnazione nelle singole regioni a prescindere dal voto regionale, per contrasto con gli artt. 57, primo comma, 3 e 48, secondo comma, Cost.;</w:t>
      </w:r>
    </w:p>
    <w:p w14:paraId="1787D76A" w14:textId="77777777" w:rsidR="00014EBB" w:rsidRPr="001B041D" w:rsidRDefault="00000000">
      <w:pPr>
        <w:spacing w:after="140" w:line="360" w:lineRule="auto"/>
        <w:ind w:left="567"/>
        <w:jc w:val="both"/>
      </w:pPr>
      <w:r>
        <w:t xml:space="preserve">d) dell'art. 14-bis, comma 3, e dell'art. 22, comma 1, numero 1-ter), del d.P.R. n. 361 del 1957, come modificati dall'art. 1, commi 6, lettera b), e 13, lettera a), della legge n. 180 del 2026, nella parte in cui obbligano le liste, a pena di esclusione, a dichiarare il nome della persona da indicare come proposta per l'incarico </w:t>
      </w:r>
      <w:r w:rsidRPr="002971FB">
        <w:t>di Presidente del Consiglio dei ministri, e le liste collegate a dichiarare il medesimo nome, nonché dell'art. 8, comma 1, del d.lgs. n. 533 del 1993, nella parte in cui, prescrivendo l'osservanza dell'art. 14-bis del d.P.R. n. 361 del 1957, estende tale obbligo e la conseguente esclusione all'elezione del Senato della Repubblica, per contrasto con gli artt. 1, secondo</w:t>
      </w:r>
      <w:r>
        <w:t xml:space="preserve"> comma, 48, secondo comma, 49, 92 e 94 Cost.;</w:t>
      </w:r>
    </w:p>
    <w:p w14:paraId="5E7D2C12" w14:textId="77777777" w:rsidR="00014EBB" w:rsidRPr="001B041D" w:rsidRDefault="00000000">
      <w:pPr>
        <w:spacing w:after="140" w:line="360" w:lineRule="auto"/>
        <w:ind w:left="567"/>
        <w:jc w:val="both"/>
      </w:pPr>
      <w:r>
        <w:t>e) dell'art. 4, comma 2, del d.P.R. n. 361 del 1957, come sostituito dall'art. 1, comma 4, della legge n. 180 del 2026, e dell'art. 14, comma 1, del d.lgs. n. 533 del 1993, come sostituito dall'art. 2, comma 7, lettera a), della stessa legge, nonché delle disposizioni che ne riproducono il contenuto indicate al § XI, nella parte in cui prevedono le parole «, pena l'annullamento della seconda e della terza preferenza nell'ordine di lista» e, in subordine, nella parte in cui prevedono che, nel caso di più preferenze espresse, «queste devono riguardare candidati di sesso diverso, pena l'annullamento della seconda e della terza preferenza nell'ordine di lista», per contrasto con gli artt. 3 e 48, secondo comma, Cost.;</w:t>
      </w:r>
    </w:p>
    <w:p w14:paraId="5E872CAD" w14:textId="77777777" w:rsidR="00014EBB" w:rsidRPr="001B041D" w:rsidRDefault="00000000">
      <w:pPr>
        <w:spacing w:after="140" w:line="360" w:lineRule="auto"/>
        <w:ind w:left="567"/>
        <w:jc w:val="both"/>
      </w:pPr>
      <w:r>
        <w:t xml:space="preserve">f) dell'art. 18-bis, comma 1, del d.P.R. n. 361 del 1957, come modificato dall'art. 1, comma 8, lettere a) e b), della legge n. </w:t>
      </w:r>
      <w:r w:rsidRPr="002971FB">
        <w:t>180 del 2026, nella parte in cui prevede «almeno 6.000 e da non più di 7.000» sottoscrizioni anziché «almeno 1.500 e da non più di 2.000», e dell'art. 9, comma 2, del d.lgs. n. 533 del 1993, nella parte in cui, rinviando all'art. 18-bis del d.P.R. n. 361 del 1957, estende tale previsione all'elezione del Senato della Repubblica, e, in subordine, dell'art. 1, comma 9, e dell'art</w:t>
      </w:r>
      <w:r>
        <w:t>. 5 della legge n. 180 del 2026, nelle parti indicate al § XII, per contrasto con gli artt. 3, 48 e 49 Cost.;</w:t>
      </w:r>
    </w:p>
    <w:p w14:paraId="0310A288" w14:textId="77777777" w:rsidR="00014EBB" w:rsidRPr="001B041D" w:rsidRDefault="00000000">
      <w:pPr>
        <w:spacing w:after="140" w:line="360" w:lineRule="auto"/>
        <w:jc w:val="both"/>
      </w:pPr>
      <w:r>
        <w:rPr>
          <w:b/>
          <w:bCs/>
        </w:rPr>
        <w:t>3.</w:t>
      </w:r>
      <w:r>
        <w:t xml:space="preserve"> per l'effetto, sospenda il giudizio e disponga l'immediata trasmissione degli atti alla Corte costituzionale;</w:t>
      </w:r>
    </w:p>
    <w:p w14:paraId="3037F5C7" w14:textId="77777777" w:rsidR="00014EBB" w:rsidRPr="001B041D" w:rsidRDefault="00000000">
      <w:pPr>
        <w:spacing w:after="140" w:line="360" w:lineRule="auto"/>
        <w:jc w:val="both"/>
      </w:pPr>
      <w:r>
        <w:rPr>
          <w:b/>
          <w:bCs/>
        </w:rPr>
        <w:t>4.</w:t>
      </w:r>
      <w:r>
        <w:t xml:space="preserve"> all'esito del giudizio di legittimità costituzionale, accerti e dichiari che il ricorrente ha diritto di esercitare il voto con i caratteri di cui al punto 1, secondo la disciplina risultante dalla pronuncia della Corte costituzionale;</w:t>
      </w:r>
    </w:p>
    <w:p w14:paraId="6DDC99E0" w14:textId="73E8028A" w:rsidR="00014EBB" w:rsidRDefault="00000000">
      <w:pPr>
        <w:spacing w:after="140" w:line="360" w:lineRule="auto"/>
        <w:jc w:val="both"/>
      </w:pPr>
      <w:r>
        <w:rPr>
          <w:b/>
          <w:bCs/>
        </w:rPr>
        <w:t>5.</w:t>
      </w:r>
      <w:r>
        <w:t xml:space="preserve"> compensi le spese di lite, salvo il solo rimborso del contributo unificato in favore del ricorrente, in ragione della natura e della novità delle questioni.</w:t>
      </w:r>
    </w:p>
    <w:p w14:paraId="1C99A597" w14:textId="77777777" w:rsidR="00014EBB" w:rsidRPr="00F154FE" w:rsidRDefault="00000000">
      <w:pPr>
        <w:keepNext/>
        <w:spacing w:before="300" w:after="160"/>
        <w:jc w:val="center"/>
      </w:pPr>
      <w:r w:rsidRPr="00F154FE">
        <w:rPr>
          <w:b/>
          <w:bCs/>
        </w:rPr>
        <w:t>DICHIARAZIONE DI VALORE</w:t>
      </w:r>
    </w:p>
    <w:p w14:paraId="4D724DDF" w14:textId="5EEA6B98" w:rsidR="00014EBB" w:rsidRPr="001B041D" w:rsidRDefault="00000000">
      <w:pPr>
        <w:spacing w:after="140" w:line="360" w:lineRule="auto"/>
        <w:jc w:val="both"/>
      </w:pPr>
      <w:r w:rsidRPr="00F154FE">
        <w:t>Ai fini del contributo unificato si dichiara che la causa è di valore indeterminabile, e tuttavia non è dovuto contributo unificato in quanto la controversia, vertente in materia elettorale, è esente. In via prudenziale, si provvede al versamento del contributo nella misura di euro 43,00 nonché dell’anticipazione forfettaria nella misura di euro 27,00.</w:t>
      </w:r>
    </w:p>
    <w:p w14:paraId="352250CF" w14:textId="77777777" w:rsidR="00014EBB" w:rsidRPr="001B041D" w:rsidRDefault="00000000">
      <w:pPr>
        <w:keepNext/>
        <w:spacing w:before="300" w:after="160"/>
        <w:jc w:val="center"/>
      </w:pPr>
      <w:r>
        <w:rPr>
          <w:b/>
          <w:bCs/>
        </w:rPr>
        <w:t>DOCUMENTI</w:t>
      </w:r>
    </w:p>
    <w:p w14:paraId="0082E527" w14:textId="4B88FA23" w:rsidR="00014EBB" w:rsidRPr="001B041D" w:rsidRDefault="00000000">
      <w:pPr>
        <w:spacing w:after="140" w:line="360" w:lineRule="auto"/>
        <w:ind w:left="567"/>
        <w:jc w:val="both"/>
      </w:pPr>
      <w:r>
        <w:t>1. Certificato di iscrizione del ricorrente nelle liste elettorali del Comune di Salerno;</w:t>
      </w:r>
    </w:p>
    <w:p w14:paraId="389DB560" w14:textId="7EB92A91" w:rsidR="00014EBB" w:rsidRPr="001B041D" w:rsidRDefault="00000000">
      <w:pPr>
        <w:spacing w:after="140" w:line="360" w:lineRule="auto"/>
        <w:ind w:left="567"/>
        <w:jc w:val="both"/>
      </w:pPr>
      <w:r>
        <w:t>2. Gazzetta Ufficiale n. 235 del 9 ottobre 2026 recante la legge 9 ottobre 2026, n. 180</w:t>
      </w:r>
      <w:r w:rsidR="007E0FBC">
        <w:t>;</w:t>
      </w:r>
    </w:p>
    <w:p w14:paraId="15440429" w14:textId="77777777" w:rsidR="00014EBB" w:rsidRPr="001B041D" w:rsidRDefault="00000000">
      <w:pPr>
        <w:spacing w:after="140" w:line="360" w:lineRule="auto"/>
        <w:ind w:left="567"/>
        <w:jc w:val="both"/>
      </w:pPr>
      <w:r>
        <w:t>3. Prospetto delle disposizioni censurate, con indicazione per ciascuna del petitum e della normativa di risulta;</w:t>
      </w:r>
    </w:p>
    <w:p w14:paraId="6D60677E" w14:textId="5206D548" w:rsidR="00014EBB" w:rsidRPr="001B041D" w:rsidRDefault="00000000">
      <w:pPr>
        <w:spacing w:after="140" w:line="360" w:lineRule="auto"/>
        <w:ind w:left="567"/>
        <w:jc w:val="both"/>
      </w:pPr>
      <w:r>
        <w:t>4. LUISS, «Legge elettorale, le simulazioni: maggioranze, preferenze e il confronto con il Rosatellum», con le relative tabelle;</w:t>
      </w:r>
    </w:p>
    <w:p w14:paraId="44EF5ADB" w14:textId="11392F7C" w:rsidR="00014EBB" w:rsidRDefault="009A45F0">
      <w:pPr>
        <w:spacing w:after="140" w:line="360" w:lineRule="auto"/>
        <w:ind w:left="567"/>
        <w:jc w:val="both"/>
      </w:pPr>
      <w:r>
        <w:t>5. Dati ufficiali sull'affluenza alle elezioni politiche del 25 settembre 2022 (Ministero dell'interno – Eligendo).</w:t>
      </w:r>
    </w:p>
    <w:p w14:paraId="0E02920C" w14:textId="7C09D6B8" w:rsidR="002971FB" w:rsidRPr="00330C91" w:rsidRDefault="002971FB" w:rsidP="002971FB">
      <w:pPr>
        <w:spacing w:after="140" w:line="360" w:lineRule="auto"/>
        <w:jc w:val="both"/>
        <w:rPr>
          <w:lang w:val="en-GB"/>
        </w:rPr>
      </w:pPr>
      <w:r w:rsidRPr="00330C91">
        <w:rPr>
          <w:lang w:val="en-GB"/>
        </w:rPr>
        <w:t>Salvis iuribus.</w:t>
      </w:r>
    </w:p>
    <w:p w14:paraId="2D7D6CD6" w14:textId="6C4DCA76" w:rsidR="00014EBB" w:rsidRDefault="009A45F0">
      <w:pPr>
        <w:spacing w:after="140" w:line="360" w:lineRule="auto"/>
      </w:pPr>
      <w:r w:rsidRPr="00330C91">
        <w:rPr>
          <w:lang w:val="en-GB"/>
        </w:rPr>
        <w:t>Salerno, lì 25.10.2026</w:t>
      </w:r>
      <w:r w:rsidR="00B366DC" w:rsidRPr="00330C91">
        <w:rPr>
          <w:lang w:val="en-GB"/>
        </w:rPr>
      </w:r>
      <w:r w:rsidRPr="00330C91">
        <w:rPr>
          <w:lang w:val="en-GB"/>
        </w:rPr>
      </w:r>
      <w:r w:rsidR="002971FB" w:rsidRPr="00330C91">
        <w:rPr>
          <w:lang w:val="en-GB"/>
        </w:rPr>
        <w:tab/>
      </w:r>
      <w:r w:rsidR="002971FB" w:rsidRPr="00330C91">
        <w:rPr>
          <w:lang w:val="en-GB"/>
        </w:rPr>
        <w:tab/>
        <w:t xml:space="preserve">Avv. </w:t>
      </w:r>
      <w:r w:rsidR="002971FB">
        <w:t>Guglielmo Scarlato                  Avv. Prof. Sergio Perongini</w:t>
      </w:r>
    </w:p>
    <w:p w14:paraId="5D990F3B" w14:textId="7BBD79AA" w:rsidR="00014EBB" w:rsidRPr="00B23EA9" w:rsidRDefault="002971FB" w:rsidP="00B633CB">
      <w:pPr>
        <w:spacing w:after="140" w:line="360" w:lineRule="auto"/>
      </w:pPr>
      <w:r>
        <w:tab/>
      </w:r>
      <w:r>
        <w:tab/>
      </w:r>
      <w:r>
        <w:tab/>
      </w:r>
      <w:r>
        <w:tab/>
        <w:t xml:space="preserve">Avv. Prof. Armando Lamberti </w:t>
      </w:r>
      <w:r>
        <w:tab/>
        <w:t>Avv. Marco De Caro</w:t>
      </w:r>
    </w:p>
    <w:sectPr w:rsidR="00014EBB" w:rsidRPr="00B23EA9">
      <w:footerReference w:type="default" r:id="rId7"/>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AC519" w14:textId="77777777" w:rsidR="00A44750" w:rsidRDefault="00A44750">
      <w:r>
        <w:separator/>
      </w:r>
    </w:p>
  </w:endnote>
  <w:endnote w:type="continuationSeparator" w:id="0">
    <w:p w14:paraId="612B9F45" w14:textId="77777777" w:rsidR="00A44750" w:rsidRDefault="00A44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BEF9" w14:textId="77777777" w:rsidR="00014EBB" w:rsidRDefault="00000000">
    <w:pPr>
      <w:jc w:val="center"/>
    </w:pPr>
    <w:r>
      <w:rPr>
        <w:sz w:val="20"/>
        <w:szCs w:val="20"/>
      </w:rPr>
      <w:fldChar w:fldCharType="begin"/>
    </w:r>
    <w:r>
      <w:rPr>
        <w:sz w:val="20"/>
        <w:szCs w:val="20"/>
      </w:rPr>
      <w:instrText>PAGE</w:instrText>
    </w:r>
    <w:r>
      <w:rPr>
        <w:sz w:val="20"/>
        <w:szCs w:val="20"/>
      </w:rPr>
      <w:fldChar w:fldCharType="separate"/>
    </w:r>
    <w:r w:rsidR="00EB0D5C">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6EEF" w14:textId="77777777" w:rsidR="00A44750" w:rsidRDefault="00A44750">
      <w:r>
        <w:separator/>
      </w:r>
    </w:p>
  </w:footnote>
  <w:footnote w:type="continuationSeparator" w:id="0">
    <w:p w14:paraId="50843FCF" w14:textId="77777777" w:rsidR="00A44750" w:rsidRDefault="00A44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8D5949"/>
    <w:multiLevelType w:val="hybridMultilevel"/>
    <w:tmpl w:val="08B0AA60"/>
    <w:lvl w:ilvl="0" w:tplc="B70E350E">
      <w:start w:val="1"/>
      <w:numFmt w:val="bullet"/>
      <w:lvlText w:val="●"/>
      <w:lvlJc w:val="left"/>
      <w:pPr>
        <w:ind w:left="720" w:hanging="360"/>
      </w:pPr>
    </w:lvl>
    <w:lvl w:ilvl="1" w:tplc="C05C2082">
      <w:start w:val="1"/>
      <w:numFmt w:val="bullet"/>
      <w:lvlText w:val="○"/>
      <w:lvlJc w:val="left"/>
      <w:pPr>
        <w:ind w:left="1440" w:hanging="360"/>
      </w:pPr>
    </w:lvl>
    <w:lvl w:ilvl="2" w:tplc="8690DAF2">
      <w:start w:val="1"/>
      <w:numFmt w:val="bullet"/>
      <w:lvlText w:val="■"/>
      <w:lvlJc w:val="left"/>
      <w:pPr>
        <w:ind w:left="2160" w:hanging="360"/>
      </w:pPr>
    </w:lvl>
    <w:lvl w:ilvl="3" w:tplc="F5FA39A0">
      <w:start w:val="1"/>
      <w:numFmt w:val="bullet"/>
      <w:lvlText w:val="●"/>
      <w:lvlJc w:val="left"/>
      <w:pPr>
        <w:ind w:left="2880" w:hanging="360"/>
      </w:pPr>
    </w:lvl>
    <w:lvl w:ilvl="4" w:tplc="1CAC6B24">
      <w:start w:val="1"/>
      <w:numFmt w:val="bullet"/>
      <w:lvlText w:val="○"/>
      <w:lvlJc w:val="left"/>
      <w:pPr>
        <w:ind w:left="3600" w:hanging="360"/>
      </w:pPr>
    </w:lvl>
    <w:lvl w:ilvl="5" w:tplc="C51E9664">
      <w:start w:val="1"/>
      <w:numFmt w:val="bullet"/>
      <w:lvlText w:val="■"/>
      <w:lvlJc w:val="left"/>
      <w:pPr>
        <w:ind w:left="4320" w:hanging="360"/>
      </w:pPr>
    </w:lvl>
    <w:lvl w:ilvl="6" w:tplc="018A87EA">
      <w:start w:val="1"/>
      <w:numFmt w:val="bullet"/>
      <w:lvlText w:val="●"/>
      <w:lvlJc w:val="left"/>
      <w:pPr>
        <w:ind w:left="5040" w:hanging="360"/>
      </w:pPr>
    </w:lvl>
    <w:lvl w:ilvl="7" w:tplc="C45EE6E2">
      <w:start w:val="1"/>
      <w:numFmt w:val="bullet"/>
      <w:lvlText w:val="●"/>
      <w:lvlJc w:val="left"/>
      <w:pPr>
        <w:ind w:left="5760" w:hanging="360"/>
      </w:pPr>
    </w:lvl>
    <w:lvl w:ilvl="8" w:tplc="FBC086C0">
      <w:start w:val="1"/>
      <w:numFmt w:val="bullet"/>
      <w:lvlText w:val="●"/>
      <w:lvlJc w:val="left"/>
      <w:pPr>
        <w:ind w:left="6480" w:hanging="360"/>
      </w:pPr>
    </w:lvl>
  </w:abstractNum>
  <w:num w:numId="1" w16cid:durableId="4393042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EBB"/>
    <w:rsid w:val="00001B4E"/>
    <w:rsid w:val="00014EBB"/>
    <w:rsid w:val="00034CBD"/>
    <w:rsid w:val="00080205"/>
    <w:rsid w:val="001603C2"/>
    <w:rsid w:val="00173D0E"/>
    <w:rsid w:val="001B041D"/>
    <w:rsid w:val="001E0CC5"/>
    <w:rsid w:val="00214FCA"/>
    <w:rsid w:val="002603A7"/>
    <w:rsid w:val="002971FB"/>
    <w:rsid w:val="002F1BBC"/>
    <w:rsid w:val="002F656E"/>
    <w:rsid w:val="00330C91"/>
    <w:rsid w:val="0042635B"/>
    <w:rsid w:val="00432527"/>
    <w:rsid w:val="00530D23"/>
    <w:rsid w:val="0053519B"/>
    <w:rsid w:val="00542DBB"/>
    <w:rsid w:val="005446CD"/>
    <w:rsid w:val="00567AD4"/>
    <w:rsid w:val="00584CFB"/>
    <w:rsid w:val="005A12D3"/>
    <w:rsid w:val="005A5756"/>
    <w:rsid w:val="006528F9"/>
    <w:rsid w:val="00690AB4"/>
    <w:rsid w:val="006E231B"/>
    <w:rsid w:val="006E32E0"/>
    <w:rsid w:val="00730ACA"/>
    <w:rsid w:val="007A4640"/>
    <w:rsid w:val="007E0CBF"/>
    <w:rsid w:val="007E0FBC"/>
    <w:rsid w:val="00866588"/>
    <w:rsid w:val="00867033"/>
    <w:rsid w:val="00950910"/>
    <w:rsid w:val="00952BF8"/>
    <w:rsid w:val="009A45F0"/>
    <w:rsid w:val="009A71CB"/>
    <w:rsid w:val="009B5590"/>
    <w:rsid w:val="009C6B57"/>
    <w:rsid w:val="00A030F9"/>
    <w:rsid w:val="00A44750"/>
    <w:rsid w:val="00A95B4A"/>
    <w:rsid w:val="00AA005B"/>
    <w:rsid w:val="00AD6BD3"/>
    <w:rsid w:val="00B23EA9"/>
    <w:rsid w:val="00B366DC"/>
    <w:rsid w:val="00B5789A"/>
    <w:rsid w:val="00B633CB"/>
    <w:rsid w:val="00BB287C"/>
    <w:rsid w:val="00BC7707"/>
    <w:rsid w:val="00C96F33"/>
    <w:rsid w:val="00CB7737"/>
    <w:rsid w:val="00E073E5"/>
    <w:rsid w:val="00EB0D5C"/>
    <w:rsid w:val="00EE3F5A"/>
    <w:rsid w:val="00EF05C7"/>
    <w:rsid w:val="00F12E57"/>
    <w:rsid w:val="00F154FE"/>
    <w:rsid w:val="00F26744"/>
    <w:rsid w:val="00F3190E"/>
    <w:rsid w:val="00F44593"/>
    <w:rsid w:val="00F86485"/>
    <w:rsid w:val="00F95D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20439"/>
  <w15:docId w15:val="{B5F8BFF5-4207-4CDF-BC06-3D5D9E03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character" w:styleId="Menzionenonrisolta">
    <w:name w:val="Unresolved Mention"/>
    <w:basedOn w:val="Carpredefinitoparagrafo"/>
    <w:uiPriority w:val="99"/>
    <w:semiHidden/>
    <w:unhideWhenUsed/>
    <w:rsid w:val="00080205"/>
    <w:rPr>
      <w:color w:val="605E5C"/>
      <w:shd w:val="clear" w:color="auto" w:fill="E1DFDD"/>
    </w:rPr>
  </w:style>
  <w:style w:type="paragraph" w:styleId="Intestazione">
    <w:name w:val="header"/>
    <w:basedOn w:val="Normale"/>
    <w:link w:val="IntestazioneCarattere"/>
    <w:uiPriority w:val="99"/>
    <w:unhideWhenUsed/>
    <w:rsid w:val="00867033"/>
    <w:pPr>
      <w:tabs>
        <w:tab w:val="center" w:pos="4819"/>
        <w:tab w:val="right" w:pos="9638"/>
      </w:tabs>
    </w:pPr>
  </w:style>
  <w:style w:type="character" w:customStyle="1" w:styleId="IntestazioneCarattere">
    <w:name w:val="Intestazione Carattere"/>
    <w:basedOn w:val="Carpredefinitoparagrafo"/>
    <w:link w:val="Intestazione"/>
    <w:uiPriority w:val="99"/>
    <w:rsid w:val="00867033"/>
  </w:style>
  <w:style w:type="paragraph" w:styleId="Pidipagina">
    <w:name w:val="footer"/>
    <w:basedOn w:val="Normale"/>
    <w:link w:val="PidipaginaCarattere"/>
    <w:uiPriority w:val="99"/>
    <w:unhideWhenUsed/>
    <w:rsid w:val="00867033"/>
    <w:pPr>
      <w:tabs>
        <w:tab w:val="center" w:pos="4819"/>
        <w:tab w:val="right" w:pos="9638"/>
      </w:tabs>
    </w:pPr>
  </w:style>
  <w:style w:type="character" w:customStyle="1" w:styleId="PidipaginaCarattere">
    <w:name w:val="Piè di pagina Carattere"/>
    <w:basedOn w:val="Carpredefinitoparagrafo"/>
    <w:link w:val="Pidipagina"/>
    <w:uiPriority w:val="99"/>
    <w:rsid w:val="00867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723174">
      <w:bodyDiv w:val="1"/>
      <w:marLeft w:val="0"/>
      <w:marRight w:val="0"/>
      <w:marTop w:val="0"/>
      <w:marBottom w:val="0"/>
      <w:divBdr>
        <w:top w:val="none" w:sz="0" w:space="0" w:color="auto"/>
        <w:left w:val="none" w:sz="0" w:space="0" w:color="auto"/>
        <w:bottom w:val="none" w:sz="0" w:space="0" w:color="auto"/>
        <w:right w:val="none" w:sz="0" w:space="0" w:color="auto"/>
      </w:divBdr>
    </w:div>
    <w:div w:id="1442801412">
      <w:bodyDiv w:val="1"/>
      <w:marLeft w:val="0"/>
      <w:marRight w:val="0"/>
      <w:marTop w:val="0"/>
      <w:marBottom w:val="0"/>
      <w:divBdr>
        <w:top w:val="none" w:sz="0" w:space="0" w:color="auto"/>
        <w:left w:val="none" w:sz="0" w:space="0" w:color="auto"/>
        <w:bottom w:val="none" w:sz="0" w:space="0" w:color="auto"/>
        <w:right w:val="none" w:sz="0" w:space="0" w:color="auto"/>
      </w:divBdr>
      <w:divsChild>
        <w:div w:id="417941588">
          <w:marLeft w:val="0"/>
          <w:marRight w:val="0"/>
          <w:marTop w:val="0"/>
          <w:marBottom w:val="0"/>
          <w:divBdr>
            <w:top w:val="none" w:sz="0" w:space="0" w:color="auto"/>
            <w:left w:val="none" w:sz="0" w:space="0" w:color="auto"/>
            <w:bottom w:val="none" w:sz="0" w:space="0" w:color="auto"/>
            <w:right w:val="none" w:sz="0" w:space="0" w:color="auto"/>
          </w:divBdr>
          <w:divsChild>
            <w:div w:id="139418854">
              <w:marLeft w:val="0"/>
              <w:marRight w:val="0"/>
              <w:marTop w:val="0"/>
              <w:marBottom w:val="360"/>
              <w:divBdr>
                <w:top w:val="none" w:sz="0" w:space="0" w:color="auto"/>
                <w:left w:val="none" w:sz="0" w:space="0" w:color="auto"/>
                <w:bottom w:val="none" w:sz="0" w:space="0" w:color="auto"/>
                <w:right w:val="none" w:sz="0" w:space="0" w:color="auto"/>
              </w:divBdr>
              <w:divsChild>
                <w:div w:id="126002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577913">
      <w:bodyDiv w:val="1"/>
      <w:marLeft w:val="0"/>
      <w:marRight w:val="0"/>
      <w:marTop w:val="0"/>
      <w:marBottom w:val="0"/>
      <w:divBdr>
        <w:top w:val="none" w:sz="0" w:space="0" w:color="auto"/>
        <w:left w:val="none" w:sz="0" w:space="0" w:color="auto"/>
        <w:bottom w:val="none" w:sz="0" w:space="0" w:color="auto"/>
        <w:right w:val="none" w:sz="0" w:space="0" w:color="auto"/>
      </w:divBdr>
    </w:div>
    <w:div w:id="15245927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33</Pages>
  <Words>12658</Words>
  <Characters>72156</Characters>
  <Application>Microsoft Office Word</Application>
  <DocSecurity>0</DocSecurity>
  <Lines>601</Lines>
  <Paragraphs>169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fabrizio marco</cp:lastModifiedBy>
  <cp:revision>3</cp:revision>
  <cp:lastPrinted>2026-10-25T14:09:00Z</cp:lastPrinted>
  <dcterms:created xsi:type="dcterms:W3CDTF">2026-10-25T14:07:00Z</dcterms:created>
  <dcterms:modified xsi:type="dcterms:W3CDTF">2026-10-25T14:23:00Z</dcterms:modified>
</cp:coreProperties>
</file>